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8555F" w14:paraId="4175F29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175F29A" w14:textId="77777777" w:rsidR="00E8555F" w:rsidRDefault="0048565D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4175F29B" w14:textId="77777777" w:rsidR="00E8555F" w:rsidRDefault="0048565D">
            <w:pPr>
              <w:spacing w:after="0" w:line="240" w:lineRule="auto"/>
            </w:pPr>
            <w:r>
              <w:t>15034</w:t>
            </w:r>
          </w:p>
        </w:tc>
      </w:tr>
      <w:tr w:rsidR="00E8555F" w14:paraId="4175F29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175F29D" w14:textId="77777777" w:rsidR="00E8555F" w:rsidRDefault="0048565D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4175F29E" w14:textId="77777777" w:rsidR="00E8555F" w:rsidRDefault="0048565D">
            <w:pPr>
              <w:spacing w:after="0" w:line="240" w:lineRule="auto"/>
            </w:pPr>
            <w:r>
              <w:t>OSNOVNA ŠKOLA IVANA FILIPOVIĆA</w:t>
            </w:r>
          </w:p>
        </w:tc>
      </w:tr>
      <w:tr w:rsidR="00E8555F" w14:paraId="4175F2A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175F2A0" w14:textId="77777777" w:rsidR="00E8555F" w:rsidRDefault="0048565D">
            <w:pPr>
              <w:spacing w:after="0" w:line="240" w:lineRule="auto"/>
            </w:pPr>
            <w:proofErr w:type="spellStart"/>
            <w:r>
              <w:rPr>
                <w:b/>
              </w:rPr>
              <w:t>Razina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4175F2A1" w14:textId="77777777" w:rsidR="00E8555F" w:rsidRDefault="0048565D">
            <w:pPr>
              <w:spacing w:after="0" w:line="240" w:lineRule="auto"/>
            </w:pPr>
            <w:r>
              <w:t>31</w:t>
            </w:r>
          </w:p>
        </w:tc>
      </w:tr>
    </w:tbl>
    <w:p w14:paraId="4175F2A3" w14:textId="77777777" w:rsidR="00E8555F" w:rsidRDefault="0048565D">
      <w:r>
        <w:br/>
      </w:r>
    </w:p>
    <w:p w14:paraId="4175F2A4" w14:textId="77777777" w:rsidR="00E8555F" w:rsidRDefault="0048565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175F2A5" w14:textId="77777777" w:rsidR="00E8555F" w:rsidRDefault="0048565D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175F2A6" w14:textId="77777777" w:rsidR="00E8555F" w:rsidRDefault="0048565D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4175F2A7" w14:textId="77777777" w:rsidR="00E8555F" w:rsidRDefault="00E8555F"/>
    <w:p w14:paraId="4175F2A8" w14:textId="77777777" w:rsidR="00E8555F" w:rsidRDefault="0048565D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14:paraId="4175F2A9" w14:textId="77777777" w:rsidR="00E8555F" w:rsidRDefault="0048565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55F" w14:paraId="4175F2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2AA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2AB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2AC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2AD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2AE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2AF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8555F" w14:paraId="4175F2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B1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5F2B2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B3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2B4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858.288,94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2B5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896.043,30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B6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104,4</w:t>
            </w:r>
          </w:p>
        </w:tc>
      </w:tr>
      <w:tr w:rsidR="00E8555F" w14:paraId="4175F2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B8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5F2B9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BA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2BB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979.356,06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2BC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889.960,53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BD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90,9</w:t>
            </w:r>
          </w:p>
        </w:tc>
      </w:tr>
      <w:tr w:rsidR="00E8555F" w14:paraId="4175F2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BF" w14:textId="77777777" w:rsidR="00E8555F" w:rsidRDefault="00E8555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5F2C0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C1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2C2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2C3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6.082,77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C4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8555F" w14:paraId="4175F2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C6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5F2C7" w14:textId="77777777" w:rsidR="00E8555F" w:rsidRDefault="0048565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C8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2C9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2CA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CB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8555F" w14:paraId="4175F2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CD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5F2CE" w14:textId="77777777" w:rsidR="00E8555F" w:rsidRDefault="0048565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CF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2D0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512,98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2D1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3.563,31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D2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694,6</w:t>
            </w:r>
          </w:p>
        </w:tc>
      </w:tr>
      <w:tr w:rsidR="00E8555F" w14:paraId="4175F2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D4" w14:textId="77777777" w:rsidR="00E8555F" w:rsidRDefault="00E8555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5F2D5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D6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2D7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512,98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2D8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3.563,31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D9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694,6</w:t>
            </w:r>
          </w:p>
        </w:tc>
      </w:tr>
      <w:tr w:rsidR="00E8555F" w14:paraId="4175F2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DB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5F2DC" w14:textId="77777777" w:rsidR="00E8555F" w:rsidRDefault="0048565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DD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2DE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2DF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E0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8555F" w14:paraId="4175F2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E2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5F2E3" w14:textId="77777777" w:rsidR="00E8555F" w:rsidRDefault="0048565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E4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2E5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2E6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E7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8555F" w14:paraId="4175F2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E9" w14:textId="77777777" w:rsidR="00E8555F" w:rsidRDefault="00E8555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5F2EA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EB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2EC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2ED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EE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8555F" w14:paraId="4175F2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F0" w14:textId="77777777" w:rsidR="00E8555F" w:rsidRDefault="00E8555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5F2F1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F2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2F3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2F4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2.519,46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2F5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175F2F7" w14:textId="77777777" w:rsidR="00E8555F" w:rsidRDefault="00E8555F">
      <w:pPr>
        <w:spacing w:after="0"/>
      </w:pPr>
    </w:p>
    <w:p w14:paraId="4175F2F8" w14:textId="77777777" w:rsidR="00E8555F" w:rsidRDefault="0048565D">
      <w:r>
        <w:t xml:space="preserve">U </w:t>
      </w:r>
      <w:proofErr w:type="spellStart"/>
      <w:r>
        <w:t>prvoj</w:t>
      </w:r>
      <w:proofErr w:type="spellEnd"/>
      <w:r>
        <w:t xml:space="preserve"> </w:t>
      </w:r>
      <w:proofErr w:type="spellStart"/>
      <w:r>
        <w:t>polovini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ostvarili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od 2.519,46 </w:t>
      </w:r>
      <w:proofErr w:type="spellStart"/>
      <w:r>
        <w:t>eura</w:t>
      </w:r>
      <w:proofErr w:type="spellEnd"/>
      <w:r>
        <w:t xml:space="preserve">. Time </w:t>
      </w:r>
      <w:proofErr w:type="spellStart"/>
      <w:r>
        <w:t>smo</w:t>
      </w:r>
      <w:proofErr w:type="spellEnd"/>
      <w:r>
        <w:t xml:space="preserve"> </w:t>
      </w:r>
      <w:proofErr w:type="spellStart"/>
      <w:r>
        <w:t>smanjili</w:t>
      </w:r>
      <w:proofErr w:type="spellEnd"/>
      <w:r>
        <w:t xml:space="preserve"> </w:t>
      </w:r>
      <w:proofErr w:type="spellStart"/>
      <w:r>
        <w:t>preneseni</w:t>
      </w:r>
      <w:proofErr w:type="spellEnd"/>
      <w:r>
        <w:t xml:space="preserve"> </w:t>
      </w:r>
      <w:proofErr w:type="spellStart"/>
      <w:r>
        <w:t>metodološki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63.104,90 </w:t>
      </w:r>
      <w:proofErr w:type="spellStart"/>
      <w:r>
        <w:t>eura</w:t>
      </w:r>
      <w:proofErr w:type="spellEnd"/>
      <w:r>
        <w:t xml:space="preserve">. </w:t>
      </w:r>
      <w:proofErr w:type="spellStart"/>
      <w:r>
        <w:t>Višak</w:t>
      </w:r>
      <w:proofErr w:type="spellEnd"/>
      <w:r>
        <w:t xml:space="preserve"> je </w:t>
      </w:r>
      <w:proofErr w:type="spellStart"/>
      <w:r>
        <w:t>nastao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nismo</w:t>
      </w:r>
      <w:proofErr w:type="spellEnd"/>
      <w:r>
        <w:t xml:space="preserve"> </w:t>
      </w:r>
      <w:proofErr w:type="spellStart"/>
      <w:r>
        <w:t>utrošili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donacije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participativnog</w:t>
      </w:r>
      <w:proofErr w:type="spellEnd"/>
      <w:r>
        <w:t xml:space="preserve"> </w:t>
      </w:r>
      <w:proofErr w:type="spellStart"/>
      <w:r>
        <w:t>budžetiranja</w:t>
      </w:r>
      <w:proofErr w:type="spellEnd"/>
      <w:r>
        <w:t xml:space="preserve"> </w:t>
      </w:r>
      <w:proofErr w:type="spellStart"/>
      <w:r>
        <w:t>uče</w:t>
      </w:r>
      <w:r>
        <w:t>nika</w:t>
      </w:r>
      <w:proofErr w:type="spellEnd"/>
      <w:r>
        <w:t>.</w:t>
      </w:r>
    </w:p>
    <w:p w14:paraId="4175F2F9" w14:textId="77777777" w:rsidR="00E8555F" w:rsidRDefault="0048565D">
      <w:r>
        <w:lastRenderedPageBreak/>
        <w:br/>
      </w:r>
    </w:p>
    <w:p w14:paraId="4175F2FA" w14:textId="77777777" w:rsidR="00E8555F" w:rsidRDefault="0048565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55F" w14:paraId="4175F3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2FB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2FC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2FD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2FE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2FF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00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8555F" w14:paraId="4175F3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02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5F303" w14:textId="77777777" w:rsidR="00E8555F" w:rsidRDefault="0048565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donacije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04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305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306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07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175F309" w14:textId="77777777" w:rsidR="00E8555F" w:rsidRDefault="00E8555F">
      <w:pPr>
        <w:spacing w:after="0"/>
      </w:pPr>
    </w:p>
    <w:p w14:paraId="4175F30A" w14:textId="77777777" w:rsidR="00E8555F" w:rsidRDefault="0048565D">
      <w:r>
        <w:t xml:space="preserve">OTP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dodjeljuje</w:t>
      </w:r>
      <w:proofErr w:type="spellEnd"/>
      <w:r>
        <w:t xml:space="preserve"> </w:t>
      </w:r>
      <w:proofErr w:type="spellStart"/>
      <w:r>
        <w:t>nagradu</w:t>
      </w:r>
      <w:proofErr w:type="spellEnd"/>
      <w:r>
        <w:t xml:space="preserve"> </w:t>
      </w:r>
      <w:proofErr w:type="spellStart"/>
      <w:r>
        <w:t>heroju</w:t>
      </w:r>
      <w:proofErr w:type="spellEnd"/>
      <w:r>
        <w:t xml:space="preserve"> </w:t>
      </w:r>
      <w:proofErr w:type="spellStart"/>
      <w:r>
        <w:t>kvarta</w:t>
      </w:r>
      <w:proofErr w:type="spellEnd"/>
      <w:r>
        <w:t xml:space="preserve">, </w:t>
      </w:r>
      <w:proofErr w:type="spellStart"/>
      <w:r>
        <w:t>najboljem</w:t>
      </w:r>
      <w:proofErr w:type="spellEnd"/>
      <w:r>
        <w:t xml:space="preserve"> </w:t>
      </w:r>
      <w:proofErr w:type="spellStart"/>
      <w:r>
        <w:t>djelatniku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po </w:t>
      </w:r>
      <w:proofErr w:type="spellStart"/>
      <w:proofErr w:type="gramStart"/>
      <w:r>
        <w:t>izboru</w:t>
      </w:r>
      <w:proofErr w:type="spellEnd"/>
      <w:r>
        <w:t xml:space="preserve">  </w:t>
      </w:r>
      <w:proofErr w:type="spellStart"/>
      <w:r>
        <w:t>slušatelja</w:t>
      </w:r>
      <w:proofErr w:type="spellEnd"/>
      <w:proofErr w:type="gramEnd"/>
      <w:r>
        <w:t xml:space="preserve"> TOP RADIA – </w:t>
      </w:r>
      <w:proofErr w:type="spellStart"/>
      <w:r>
        <w:t>donaciju</w:t>
      </w:r>
      <w:proofErr w:type="spellEnd"/>
      <w:r>
        <w:t xml:space="preserve"> za </w:t>
      </w:r>
      <w:proofErr w:type="spellStart"/>
      <w:r>
        <w:t>njegovu</w:t>
      </w:r>
      <w:proofErr w:type="spellEnd"/>
      <w:r>
        <w:t>/</w:t>
      </w:r>
      <w:proofErr w:type="spellStart"/>
      <w:r>
        <w:t>njezinu</w:t>
      </w:r>
      <w:proofErr w:type="spellEnd"/>
      <w:r>
        <w:t xml:space="preserve"> </w:t>
      </w:r>
      <w:proofErr w:type="spellStart"/>
      <w:r>
        <w:t>školu</w:t>
      </w:r>
      <w:proofErr w:type="spellEnd"/>
      <w:r>
        <w:t xml:space="preserve">. </w:t>
      </w:r>
      <w:proofErr w:type="spellStart"/>
      <w:r>
        <w:t>Roditelji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za </w:t>
      </w:r>
      <w:proofErr w:type="spellStart"/>
      <w:r>
        <w:t>titulu</w:t>
      </w:r>
      <w:proofErr w:type="spellEnd"/>
      <w:r>
        <w:t xml:space="preserve"> “</w:t>
      </w:r>
      <w:proofErr w:type="spellStart"/>
      <w:r>
        <w:t>Heroj</w:t>
      </w:r>
      <w:proofErr w:type="spellEnd"/>
      <w:r>
        <w:t xml:space="preserve"> </w:t>
      </w:r>
      <w:proofErr w:type="spellStart"/>
      <w:r>
        <w:t>kvarta</w:t>
      </w:r>
      <w:proofErr w:type="spellEnd"/>
      <w:r>
        <w:t xml:space="preserve">” </w:t>
      </w:r>
      <w:proofErr w:type="spellStart"/>
      <w:r>
        <w:t>prijavili</w:t>
      </w:r>
      <w:proofErr w:type="spellEnd"/>
      <w:r>
        <w:t xml:space="preserve"> </w:t>
      </w:r>
      <w:proofErr w:type="spellStart"/>
      <w:r>
        <w:t>našeg</w:t>
      </w:r>
      <w:proofErr w:type="spellEnd"/>
      <w:r>
        <w:t xml:space="preserve"> </w:t>
      </w:r>
      <w:proofErr w:type="spellStart"/>
      <w:r>
        <w:t>djelatnika</w:t>
      </w:r>
      <w:proofErr w:type="spellEnd"/>
      <w:r>
        <w:t xml:space="preserve"> </w:t>
      </w:r>
      <w:proofErr w:type="spellStart"/>
      <w:r>
        <w:t>sigurnosti</w:t>
      </w:r>
      <w:proofErr w:type="spellEnd"/>
      <w:r>
        <w:t xml:space="preserve"> koji je </w:t>
      </w:r>
      <w:proofErr w:type="spellStart"/>
      <w:r>
        <w:t>dobio</w:t>
      </w:r>
      <w:proofErr w:type="spellEnd"/>
      <w:r>
        <w:t xml:space="preserve"> </w:t>
      </w:r>
      <w:proofErr w:type="spellStart"/>
      <w:r>
        <w:t>naj</w:t>
      </w:r>
      <w:r>
        <w:t>više</w:t>
      </w:r>
      <w:proofErr w:type="spellEnd"/>
      <w:r>
        <w:t xml:space="preserve">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proofErr w:type="gramStart"/>
      <w:r>
        <w:t>i</w:t>
      </w:r>
      <w:proofErr w:type="spellEnd"/>
      <w:r>
        <w:t xml:space="preserve"> time</w:t>
      </w:r>
      <w:proofErr w:type="gramEnd"/>
      <w:r>
        <w:t xml:space="preserve"> je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dobila</w:t>
      </w:r>
      <w:proofErr w:type="spellEnd"/>
      <w:r>
        <w:t xml:space="preserve"> </w:t>
      </w:r>
      <w:proofErr w:type="spellStart"/>
      <w:r>
        <w:t>donaciju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5.000,00 </w:t>
      </w:r>
      <w:proofErr w:type="spellStart"/>
      <w:r>
        <w:t>eura</w:t>
      </w:r>
      <w:proofErr w:type="spellEnd"/>
      <w:r>
        <w:t>.</w:t>
      </w:r>
    </w:p>
    <w:p w14:paraId="4175F30B" w14:textId="77777777" w:rsidR="00E8555F" w:rsidRDefault="00E8555F"/>
    <w:p w14:paraId="4175F30C" w14:textId="77777777" w:rsidR="00E8555F" w:rsidRDefault="0048565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55F" w14:paraId="4175F3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0D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0E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0F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10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11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12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8555F" w14:paraId="4175F3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14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5F315" w14:textId="77777777" w:rsidR="00E8555F" w:rsidRDefault="0048565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nadležnog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financiranje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16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317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318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19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175F31B" w14:textId="77777777" w:rsidR="00E8555F" w:rsidRDefault="00E8555F">
      <w:pPr>
        <w:spacing w:after="0"/>
      </w:pPr>
    </w:p>
    <w:p w14:paraId="4175F31C" w14:textId="77777777" w:rsidR="00E8555F" w:rsidRDefault="0048565D">
      <w:r>
        <w:t xml:space="preserve">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participativnog</w:t>
      </w:r>
      <w:proofErr w:type="spellEnd"/>
      <w:r>
        <w:t xml:space="preserve"> </w:t>
      </w:r>
      <w:proofErr w:type="spellStart"/>
      <w:r>
        <w:t>budžetiranja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u </w:t>
      </w:r>
      <w:proofErr w:type="spellStart"/>
      <w:r>
        <w:t>zagrebačkim</w:t>
      </w:r>
      <w:proofErr w:type="spellEnd"/>
      <w:r>
        <w:t xml:space="preserve"> </w:t>
      </w:r>
      <w:proofErr w:type="spellStart"/>
      <w:r>
        <w:t>osnovnim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srednjim</w:t>
      </w:r>
      <w:proofErr w:type="spellEnd"/>
      <w:r>
        <w:t xml:space="preserve"> </w:t>
      </w:r>
      <w:proofErr w:type="spellStart"/>
      <w:r>
        <w:t>školama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učeničkim</w:t>
      </w:r>
      <w:proofErr w:type="spellEnd"/>
      <w:r>
        <w:t xml:space="preserve"> </w:t>
      </w:r>
      <w:proofErr w:type="spellStart"/>
      <w:r>
        <w:t>domovima</w:t>
      </w:r>
      <w:proofErr w:type="spellEnd"/>
      <w:r>
        <w:t xml:space="preserve"> </w:t>
      </w:r>
      <w:proofErr w:type="spellStart"/>
      <w:r>
        <w:t>Osnovna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Ivana Filipovića je </w:t>
      </w:r>
      <w:proofErr w:type="spellStart"/>
      <w:r>
        <w:t>dobila</w:t>
      </w:r>
      <w:proofErr w:type="spellEnd"/>
      <w:r>
        <w:t xml:space="preserve"> 3.000,00 </w:t>
      </w:r>
      <w:proofErr w:type="spellStart"/>
      <w:r>
        <w:t>eura</w:t>
      </w:r>
      <w:proofErr w:type="spellEnd"/>
      <w:r>
        <w:t xml:space="preserve"> od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Zagreba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koji je </w:t>
      </w:r>
      <w:proofErr w:type="spellStart"/>
      <w:r>
        <w:t>prijavljen</w:t>
      </w:r>
      <w:proofErr w:type="spellEnd"/>
      <w:r>
        <w:t xml:space="preserve">, a </w:t>
      </w:r>
      <w:proofErr w:type="spellStart"/>
      <w:r>
        <w:t>dio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u</w:t>
      </w:r>
      <w:r>
        <w:t xml:space="preserve"> </w:t>
      </w:r>
      <w:proofErr w:type="spellStart"/>
      <w:r>
        <w:t>iznosu</w:t>
      </w:r>
      <w:proofErr w:type="spellEnd"/>
      <w:r>
        <w:t xml:space="preserve"> od 1.401.,00 </w:t>
      </w:r>
      <w:proofErr w:type="spellStart"/>
      <w:r>
        <w:t>eura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nefinancijsku</w:t>
      </w:r>
      <w:proofErr w:type="spellEnd"/>
      <w:r>
        <w:t xml:space="preserve"> </w:t>
      </w:r>
      <w:proofErr w:type="spellStart"/>
      <w:r>
        <w:t>imovinu</w:t>
      </w:r>
      <w:proofErr w:type="spellEnd"/>
      <w:r>
        <w:t>.</w:t>
      </w:r>
    </w:p>
    <w:p w14:paraId="4175F31D" w14:textId="77777777" w:rsidR="00E8555F" w:rsidRDefault="00E8555F"/>
    <w:p w14:paraId="4175F31E" w14:textId="77777777" w:rsidR="00E8555F" w:rsidRDefault="0048565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55F" w14:paraId="4175F3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1F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20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21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22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23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24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(%)</w:t>
            </w:r>
          </w:p>
        </w:tc>
      </w:tr>
      <w:tr w:rsidR="00E8555F" w14:paraId="4175F3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26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5F327" w14:textId="77777777" w:rsidR="00E8555F" w:rsidRDefault="0048565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Službena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putovanja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28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329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8.026,60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32A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9.472,57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2B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118,0</w:t>
            </w:r>
          </w:p>
        </w:tc>
      </w:tr>
    </w:tbl>
    <w:p w14:paraId="4175F32D" w14:textId="77777777" w:rsidR="00E8555F" w:rsidRDefault="00E8555F">
      <w:pPr>
        <w:spacing w:after="0"/>
      </w:pPr>
    </w:p>
    <w:p w14:paraId="4175F32E" w14:textId="77777777" w:rsidR="00E8555F" w:rsidRDefault="0048565D">
      <w:r>
        <w:t xml:space="preserve">U </w:t>
      </w:r>
      <w:proofErr w:type="spellStart"/>
      <w:r>
        <w:t>prvoj</w:t>
      </w:r>
      <w:proofErr w:type="spellEnd"/>
      <w:r>
        <w:t xml:space="preserve"> </w:t>
      </w:r>
      <w:proofErr w:type="spellStart"/>
      <w:r>
        <w:t>polovini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službenih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 xml:space="preserve">, </w:t>
      </w:r>
      <w:proofErr w:type="spellStart"/>
      <w:r>
        <w:t>jer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troška</w:t>
      </w:r>
      <w:proofErr w:type="spellEnd"/>
      <w:r>
        <w:t xml:space="preserve"> </w:t>
      </w:r>
      <w:proofErr w:type="gramStart"/>
      <w:r>
        <w:t>za  </w:t>
      </w:r>
      <w:proofErr w:type="spellStart"/>
      <w:r>
        <w:t>dnevnice</w:t>
      </w:r>
      <w:proofErr w:type="spellEnd"/>
      <w:proofErr w:type="gramEnd"/>
      <w:r>
        <w:t xml:space="preserve"> za </w:t>
      </w:r>
      <w:proofErr w:type="spellStart"/>
      <w:r>
        <w:t>terensku</w:t>
      </w:r>
      <w:proofErr w:type="spellEnd"/>
      <w:r>
        <w:t xml:space="preserve"> </w:t>
      </w:r>
      <w:proofErr w:type="spellStart"/>
      <w:r>
        <w:t>nastavu</w:t>
      </w:r>
      <w:proofErr w:type="spellEnd"/>
      <w:r>
        <w:t xml:space="preserve"> </w:t>
      </w:r>
      <w:proofErr w:type="spellStart"/>
      <w:r>
        <w:t>imali</w:t>
      </w:r>
      <w:proofErr w:type="spellEnd"/>
      <w:r>
        <w:t xml:space="preserve"> </w:t>
      </w:r>
      <w:proofErr w:type="spellStart"/>
      <w:r>
        <w:t>nekoliko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seminare</w:t>
      </w:r>
      <w:proofErr w:type="spellEnd"/>
      <w:r>
        <w:t xml:space="preserve">: za </w:t>
      </w:r>
      <w:proofErr w:type="spellStart"/>
      <w:r>
        <w:t>ravnatelje</w:t>
      </w:r>
      <w:proofErr w:type="spellEnd"/>
      <w:r>
        <w:t xml:space="preserve">, </w:t>
      </w:r>
      <w:proofErr w:type="spellStart"/>
      <w:r>
        <w:t>voditelje</w:t>
      </w:r>
      <w:proofErr w:type="spellEnd"/>
      <w:r>
        <w:t xml:space="preserve"> </w:t>
      </w:r>
      <w:proofErr w:type="spellStart"/>
      <w:r>
        <w:t>računovodstva</w:t>
      </w:r>
      <w:proofErr w:type="spellEnd"/>
      <w:r>
        <w:t xml:space="preserve">, </w:t>
      </w:r>
      <w:proofErr w:type="spellStart"/>
      <w:r>
        <w:t>voditelja</w:t>
      </w:r>
      <w:proofErr w:type="spellEnd"/>
      <w:r>
        <w:t xml:space="preserve"> ZSV-a </w:t>
      </w:r>
      <w:proofErr w:type="spellStart"/>
      <w:r>
        <w:t>i</w:t>
      </w:r>
      <w:proofErr w:type="spellEnd"/>
      <w:r>
        <w:t xml:space="preserve"> </w:t>
      </w:r>
      <w:proofErr w:type="spellStart"/>
      <w:r>
        <w:t>nastavnika</w:t>
      </w:r>
      <w:proofErr w:type="spellEnd"/>
      <w:r>
        <w:t xml:space="preserve"> </w:t>
      </w:r>
      <w:proofErr w:type="spellStart"/>
      <w:r>
        <w:t>glabene</w:t>
      </w:r>
      <w:proofErr w:type="spellEnd"/>
      <w:r>
        <w:t xml:space="preserve"> </w:t>
      </w:r>
      <w:proofErr w:type="spellStart"/>
      <w:r>
        <w:t>kulture</w:t>
      </w:r>
      <w:proofErr w:type="spellEnd"/>
      <w:r>
        <w:t>.</w:t>
      </w:r>
    </w:p>
    <w:p w14:paraId="4175F32F" w14:textId="77777777" w:rsidR="00E8555F" w:rsidRDefault="00E8555F"/>
    <w:p w14:paraId="4175F330" w14:textId="77777777" w:rsidR="00E8555F" w:rsidRDefault="0048565D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55F" w14:paraId="4175F3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31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32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33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34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35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36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8555F" w14:paraId="4175F3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38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5F339" w14:textId="77777777" w:rsidR="00E8555F" w:rsidRDefault="0048565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Stručno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usavršavanje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zaposlenika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3A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33B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33C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3D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213,4</w:t>
            </w:r>
          </w:p>
        </w:tc>
      </w:tr>
    </w:tbl>
    <w:p w14:paraId="4175F33F" w14:textId="77777777" w:rsidR="00E8555F" w:rsidRDefault="00E8555F">
      <w:pPr>
        <w:spacing w:after="0"/>
      </w:pPr>
    </w:p>
    <w:p w14:paraId="4175F340" w14:textId="77777777" w:rsidR="00E8555F" w:rsidRDefault="0048565D">
      <w:r>
        <w:t xml:space="preserve">U 2026.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je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stručnih</w:t>
      </w:r>
      <w:proofErr w:type="spellEnd"/>
      <w:r>
        <w:t xml:space="preserve"> </w:t>
      </w:r>
      <w:proofErr w:type="spellStart"/>
      <w:r>
        <w:t>usavršavanja</w:t>
      </w:r>
      <w:proofErr w:type="spellEnd"/>
      <w:r>
        <w:t xml:space="preserve"> </w:t>
      </w:r>
      <w:proofErr w:type="spellStart"/>
      <w:r>
        <w:t>nastavnika</w:t>
      </w:r>
      <w:proofErr w:type="spellEnd"/>
      <w:r>
        <w:t xml:space="preserve"> </w:t>
      </w:r>
      <w:proofErr w:type="spellStart"/>
      <w:r>
        <w:t>nego</w:t>
      </w:r>
      <w:proofErr w:type="spellEnd"/>
      <w:r>
        <w:t xml:space="preserve"> u 2025. </w:t>
      </w:r>
      <w:proofErr w:type="spellStart"/>
      <w:r>
        <w:t>godini</w:t>
      </w:r>
      <w:proofErr w:type="spellEnd"/>
      <w:r>
        <w:t xml:space="preserve">., a </w:t>
      </w:r>
      <w:proofErr w:type="spellStart"/>
      <w:r>
        <w:t>došlo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do </w:t>
      </w:r>
      <w:proofErr w:type="spellStart"/>
      <w:r>
        <w:t>porasta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>.</w:t>
      </w:r>
    </w:p>
    <w:p w14:paraId="4175F341" w14:textId="77777777" w:rsidR="00E8555F" w:rsidRDefault="00E8555F"/>
    <w:p w14:paraId="4175F342" w14:textId="77777777" w:rsidR="00E8555F" w:rsidRDefault="0048565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55F" w14:paraId="4175F3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43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44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45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46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47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48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8555F" w14:paraId="4175F3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4A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5F34B" w14:textId="77777777" w:rsidR="00E8555F" w:rsidRDefault="0048565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Energija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4C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34D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10.263,93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34E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17.819,41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4F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173,6</w:t>
            </w:r>
          </w:p>
        </w:tc>
      </w:tr>
    </w:tbl>
    <w:p w14:paraId="4175F351" w14:textId="77777777" w:rsidR="00E8555F" w:rsidRDefault="00E8555F">
      <w:pPr>
        <w:spacing w:after="0"/>
      </w:pPr>
    </w:p>
    <w:p w14:paraId="4175F352" w14:textId="77777777" w:rsidR="00E8555F" w:rsidRDefault="0048565D">
      <w:proofErr w:type="spellStart"/>
      <w:r>
        <w:t>Povećani</w:t>
      </w:r>
      <w:proofErr w:type="spellEnd"/>
      <w:r>
        <w:t xml:space="preserve"> </w:t>
      </w:r>
      <w:proofErr w:type="spellStart"/>
      <w:r>
        <w:t>trošak</w:t>
      </w:r>
      <w:proofErr w:type="spellEnd"/>
      <w:r>
        <w:t xml:space="preserve"> za </w:t>
      </w:r>
      <w:proofErr w:type="spellStart"/>
      <w:r>
        <w:t>energente</w:t>
      </w:r>
      <w:proofErr w:type="spellEnd"/>
      <w:r>
        <w:t xml:space="preserve"> u 2026. </w:t>
      </w:r>
      <w:proofErr w:type="spellStart"/>
      <w:r>
        <w:t>godini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2025. </w:t>
      </w:r>
      <w:proofErr w:type="spellStart"/>
      <w:r>
        <w:t>Godinu</w:t>
      </w:r>
      <w:proofErr w:type="spellEnd"/>
      <w:r>
        <w:t xml:space="preserve"> je </w:t>
      </w:r>
      <w:proofErr w:type="spellStart"/>
      <w:r>
        <w:t>nastao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reklamacije</w:t>
      </w:r>
      <w:proofErr w:type="spellEnd"/>
      <w:r>
        <w:t xml:space="preserve"> </w:t>
      </w:r>
      <w:proofErr w:type="spellStart"/>
      <w:r>
        <w:t>netočnog</w:t>
      </w:r>
      <w:proofErr w:type="spellEnd"/>
      <w:r>
        <w:t xml:space="preserve"> </w:t>
      </w:r>
      <w:proofErr w:type="spellStart"/>
      <w:r>
        <w:t>daljinskog</w:t>
      </w:r>
      <w:proofErr w:type="spellEnd"/>
      <w:r>
        <w:t xml:space="preserve"> </w:t>
      </w:r>
      <w:proofErr w:type="spellStart"/>
      <w:r>
        <w:t>mjerenja</w:t>
      </w:r>
      <w:proofErr w:type="spellEnd"/>
      <w:r>
        <w:t xml:space="preserve"> u </w:t>
      </w:r>
      <w:proofErr w:type="spellStart"/>
      <w:r>
        <w:t>siječnju</w:t>
      </w:r>
      <w:proofErr w:type="spellEnd"/>
      <w:r>
        <w:t xml:space="preserve"> 2025., </w:t>
      </w:r>
      <w:proofErr w:type="spellStart"/>
      <w:r>
        <w:t>te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dobili</w:t>
      </w:r>
      <w:proofErr w:type="spellEnd"/>
      <w:r>
        <w:t xml:space="preserve"> </w:t>
      </w:r>
      <w:proofErr w:type="spellStart"/>
      <w:r>
        <w:t>storno</w:t>
      </w:r>
      <w:proofErr w:type="spellEnd"/>
      <w:r>
        <w:t xml:space="preserve"> </w:t>
      </w:r>
      <w:proofErr w:type="spellStart"/>
      <w:r>
        <w:t>cijelog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za 12. </w:t>
      </w:r>
      <w:proofErr w:type="spellStart"/>
      <w:r>
        <w:t>mjesec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storno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za 11. </w:t>
      </w:r>
      <w:proofErr w:type="spellStart"/>
      <w:r>
        <w:t>mjesec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>.</w:t>
      </w:r>
    </w:p>
    <w:p w14:paraId="4175F353" w14:textId="77777777" w:rsidR="00E8555F" w:rsidRDefault="00E8555F"/>
    <w:p w14:paraId="4175F354" w14:textId="77777777" w:rsidR="00E8555F" w:rsidRDefault="0048565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55F" w14:paraId="4175F3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55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56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57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58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59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5A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8555F" w14:paraId="4175F3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5C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5F35D" w14:textId="77777777" w:rsidR="00E8555F" w:rsidRDefault="0048565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Materijal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dijelovi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investicijsko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održavanje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5E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35F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1.880,27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360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2.472,52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61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131,5</w:t>
            </w:r>
          </w:p>
        </w:tc>
      </w:tr>
    </w:tbl>
    <w:p w14:paraId="4175F363" w14:textId="77777777" w:rsidR="00E8555F" w:rsidRDefault="00E8555F">
      <w:pPr>
        <w:spacing w:after="0"/>
      </w:pPr>
    </w:p>
    <w:p w14:paraId="4175F364" w14:textId="77777777" w:rsidR="00E8555F" w:rsidRDefault="0048565D">
      <w:proofErr w:type="spellStart"/>
      <w:r>
        <w:t>Povećani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za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investicijsko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održavanju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>.</w:t>
      </w:r>
    </w:p>
    <w:p w14:paraId="4175F365" w14:textId="77777777" w:rsidR="00E8555F" w:rsidRDefault="00E8555F"/>
    <w:p w14:paraId="4175F366" w14:textId="77777777" w:rsidR="00E8555F" w:rsidRDefault="0048565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55F" w14:paraId="4175F3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67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68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69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6A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6B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</w:t>
            </w:r>
            <w:r>
              <w:rPr>
                <w:b/>
                <w:sz w:val="18"/>
              </w:rPr>
              <w:t>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6C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8555F" w14:paraId="4175F3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6E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5F36F" w14:textId="77777777" w:rsidR="00E8555F" w:rsidRDefault="0048565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Sitni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inventar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70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371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1.042,84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372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2.415,74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73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231,7</w:t>
            </w:r>
          </w:p>
        </w:tc>
      </w:tr>
    </w:tbl>
    <w:p w14:paraId="4175F375" w14:textId="77777777" w:rsidR="00E8555F" w:rsidRDefault="00E8555F">
      <w:pPr>
        <w:spacing w:after="0"/>
      </w:pPr>
    </w:p>
    <w:p w14:paraId="4175F376" w14:textId="77777777" w:rsidR="00E8555F" w:rsidRDefault="0048565D">
      <w:proofErr w:type="spellStart"/>
      <w:r>
        <w:t>Uzrok</w:t>
      </w:r>
      <w:proofErr w:type="spellEnd"/>
      <w:r>
        <w:t xml:space="preserve"> </w:t>
      </w:r>
      <w:proofErr w:type="spellStart"/>
      <w:r>
        <w:t>povećanog</w:t>
      </w:r>
      <w:proofErr w:type="spellEnd"/>
      <w:r>
        <w:t xml:space="preserve"> </w:t>
      </w:r>
      <w:proofErr w:type="spellStart"/>
      <w:r>
        <w:t>troška</w:t>
      </w:r>
      <w:proofErr w:type="spellEnd"/>
      <w:r>
        <w:t xml:space="preserve"> </w:t>
      </w:r>
      <w:proofErr w:type="spellStart"/>
      <w:r>
        <w:t>sitnog</w:t>
      </w:r>
      <w:proofErr w:type="spellEnd"/>
      <w:r>
        <w:t xml:space="preserve"> </w:t>
      </w:r>
      <w:proofErr w:type="spellStart"/>
      <w:r>
        <w:t>inventara</w:t>
      </w:r>
      <w:proofErr w:type="spellEnd"/>
      <w:r>
        <w:t xml:space="preserve"> u 2026. </w:t>
      </w:r>
      <w:proofErr w:type="spellStart"/>
      <w:r>
        <w:t>godini</w:t>
      </w:r>
      <w:proofErr w:type="spellEnd"/>
      <w:r>
        <w:t xml:space="preserve"> je </w:t>
      </w:r>
      <w:proofErr w:type="spellStart"/>
      <w:r>
        <w:t>nabava</w:t>
      </w:r>
      <w:proofErr w:type="spellEnd"/>
      <w:r>
        <w:t xml:space="preserve"> 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MZOM-a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Zagreba</w:t>
      </w:r>
      <w:proofErr w:type="spellEnd"/>
      <w:r>
        <w:t>.</w:t>
      </w:r>
    </w:p>
    <w:p w14:paraId="4175F377" w14:textId="77777777" w:rsidR="00E8555F" w:rsidRDefault="00E8555F"/>
    <w:p w14:paraId="4175F378" w14:textId="77777777" w:rsidR="00E8555F" w:rsidRDefault="0048565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55F" w14:paraId="4175F3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79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7A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7B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7C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7D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</w:t>
            </w:r>
            <w:r>
              <w:rPr>
                <w:b/>
                <w:sz w:val="18"/>
              </w:rPr>
              <w:t>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7E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8555F" w14:paraId="4175F3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80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5F381" w14:textId="77777777" w:rsidR="00E8555F" w:rsidRDefault="0048565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tekućeg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investicijskog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održavanja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82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383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23.660,53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384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6.869,69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85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29,0</w:t>
            </w:r>
          </w:p>
        </w:tc>
      </w:tr>
    </w:tbl>
    <w:p w14:paraId="4175F387" w14:textId="77777777" w:rsidR="00E8555F" w:rsidRDefault="00E8555F">
      <w:pPr>
        <w:spacing w:after="0"/>
      </w:pPr>
    </w:p>
    <w:p w14:paraId="4175F388" w14:textId="77777777" w:rsidR="00E8555F" w:rsidRDefault="0048565D">
      <w:proofErr w:type="spellStart"/>
      <w:r>
        <w:t>Trošak</w:t>
      </w:r>
      <w:proofErr w:type="spellEnd"/>
      <w:r>
        <w:t xml:space="preserve"> za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tekućeg</w:t>
      </w:r>
      <w:proofErr w:type="spellEnd"/>
      <w:r>
        <w:t xml:space="preserve"> </w:t>
      </w:r>
      <w:proofErr w:type="spellStart"/>
      <w:r>
        <w:t>investicijskog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je </w:t>
      </w:r>
      <w:proofErr w:type="spellStart"/>
      <w:r>
        <w:t>značajno</w:t>
      </w:r>
      <w:proofErr w:type="spellEnd"/>
      <w:r>
        <w:t xml:space="preserve"> </w:t>
      </w:r>
      <w:proofErr w:type="spellStart"/>
      <w:r>
        <w:t>smanjen</w:t>
      </w:r>
      <w:proofErr w:type="spellEnd"/>
      <w:r>
        <w:t xml:space="preserve"> u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popravka</w:t>
      </w:r>
      <w:proofErr w:type="spellEnd"/>
      <w:r>
        <w:t xml:space="preserve"> </w:t>
      </w:r>
      <w:proofErr w:type="spellStart"/>
      <w:r>
        <w:t>krova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sportskoj</w:t>
      </w:r>
      <w:proofErr w:type="spellEnd"/>
      <w:r>
        <w:t xml:space="preserve"> </w:t>
      </w:r>
      <w:proofErr w:type="spellStart"/>
      <w:r>
        <w:t>dvorani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postavljanja</w:t>
      </w:r>
      <w:proofErr w:type="spellEnd"/>
      <w:r>
        <w:t xml:space="preserve"> </w:t>
      </w:r>
      <w:proofErr w:type="spellStart"/>
      <w:r>
        <w:t>portafona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sigurnosti</w:t>
      </w:r>
      <w:proofErr w:type="spellEnd"/>
      <w:r>
        <w:t xml:space="preserve"> u </w:t>
      </w:r>
      <w:proofErr w:type="spellStart"/>
      <w:r>
        <w:t>školi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je 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financirao</w:t>
      </w:r>
      <w:proofErr w:type="spellEnd"/>
      <w:r>
        <w:t xml:space="preserve"> Grad Zagreb</w:t>
      </w:r>
      <w:r>
        <w:t>.</w:t>
      </w:r>
    </w:p>
    <w:p w14:paraId="4175F389" w14:textId="77777777" w:rsidR="00E8555F" w:rsidRDefault="00E8555F"/>
    <w:p w14:paraId="4175F38A" w14:textId="77777777" w:rsidR="00E8555F" w:rsidRDefault="0048565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55F" w14:paraId="4175F3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8B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8C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8D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8E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8F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90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8555F" w14:paraId="4175F3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92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5F393" w14:textId="77777777" w:rsidR="00E8555F" w:rsidRDefault="0048565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94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395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15.542,00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396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97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4,3</w:t>
            </w:r>
          </w:p>
        </w:tc>
      </w:tr>
    </w:tbl>
    <w:p w14:paraId="4175F399" w14:textId="77777777" w:rsidR="00E8555F" w:rsidRDefault="00E8555F">
      <w:pPr>
        <w:spacing w:after="0"/>
      </w:pPr>
    </w:p>
    <w:p w14:paraId="4175F39A" w14:textId="77777777" w:rsidR="00E8555F" w:rsidRDefault="0048565D">
      <w:r>
        <w:t xml:space="preserve">Na </w:t>
      </w:r>
      <w:proofErr w:type="spellStart"/>
      <w:r>
        <w:t>značajno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utjecalo</w:t>
      </w:r>
      <w:proofErr w:type="spellEnd"/>
      <w:r>
        <w:t xml:space="preserve"> je </w:t>
      </w:r>
      <w:proofErr w:type="spellStart"/>
      <w:r>
        <w:t>angažiranje</w:t>
      </w:r>
      <w:proofErr w:type="spellEnd"/>
      <w:r>
        <w:t xml:space="preserve"> </w:t>
      </w:r>
      <w:proofErr w:type="spellStart"/>
      <w:r>
        <w:t>zaštitarske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u 2025. </w:t>
      </w:r>
      <w:proofErr w:type="spellStart"/>
      <w:r>
        <w:t>godini</w:t>
      </w:r>
      <w:proofErr w:type="spellEnd"/>
      <w:r>
        <w:t xml:space="preserve"> u </w:t>
      </w:r>
      <w:proofErr w:type="spellStart"/>
      <w:r>
        <w:t>školama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financirao</w:t>
      </w:r>
      <w:proofErr w:type="spellEnd"/>
      <w:r>
        <w:t xml:space="preserve"> Grad Zagreb. MZOM je </w:t>
      </w:r>
      <w:proofErr w:type="spellStart"/>
      <w:r>
        <w:t>početkom</w:t>
      </w:r>
      <w:proofErr w:type="spellEnd"/>
      <w:r>
        <w:t xml:space="preserve"> </w:t>
      </w:r>
      <w:proofErr w:type="spellStart"/>
      <w:r>
        <w:t>školske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2025/26 </w:t>
      </w:r>
      <w:proofErr w:type="spellStart"/>
      <w:r>
        <w:t>odobrio</w:t>
      </w:r>
      <w:proofErr w:type="spellEnd"/>
      <w:r>
        <w:t xml:space="preserve"> nova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djelatnika</w:t>
      </w:r>
      <w:proofErr w:type="spellEnd"/>
      <w:r>
        <w:t xml:space="preserve"> </w:t>
      </w:r>
      <w:proofErr w:type="spellStart"/>
      <w:r>
        <w:t>sigurnosti</w:t>
      </w:r>
      <w:proofErr w:type="spellEnd"/>
      <w:r>
        <w:t>.</w:t>
      </w:r>
    </w:p>
    <w:p w14:paraId="4175F39B" w14:textId="77777777" w:rsidR="00E8555F" w:rsidRDefault="00E8555F"/>
    <w:p w14:paraId="4175F39C" w14:textId="77777777" w:rsidR="00E8555F" w:rsidRDefault="0048565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55F" w14:paraId="4175F3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9D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</w:t>
            </w:r>
            <w:r>
              <w:rPr>
                <w:b/>
                <w:sz w:val="18"/>
              </w:rPr>
              <w:t>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9E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9F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A0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A1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A2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8555F" w14:paraId="4175F3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A4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5F3A5" w14:textId="77777777" w:rsidR="00E8555F" w:rsidRDefault="0048565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z w:val="18"/>
              </w:rPr>
              <w:t xml:space="preserve"> za rad </w:t>
            </w:r>
            <w:proofErr w:type="spellStart"/>
            <w:r>
              <w:rPr>
                <w:sz w:val="18"/>
              </w:rPr>
              <w:t>predstavničkih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izvršnih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tijela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povjerenstava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slično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A6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3A7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1.740,58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3A8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7.364,01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A9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423,1</w:t>
            </w:r>
          </w:p>
        </w:tc>
      </w:tr>
    </w:tbl>
    <w:p w14:paraId="4175F3AB" w14:textId="77777777" w:rsidR="00E8555F" w:rsidRDefault="00E8555F">
      <w:pPr>
        <w:spacing w:after="0"/>
      </w:pPr>
    </w:p>
    <w:p w14:paraId="4175F3AC" w14:textId="77777777" w:rsidR="00E8555F" w:rsidRDefault="0048565D">
      <w:proofErr w:type="spellStart"/>
      <w:r>
        <w:t>Povećani</w:t>
      </w:r>
      <w:proofErr w:type="spellEnd"/>
      <w:r>
        <w:t xml:space="preserve"> </w:t>
      </w:r>
      <w:proofErr w:type="spellStart"/>
      <w:r>
        <w:t>trošak</w:t>
      </w:r>
      <w:proofErr w:type="spellEnd"/>
      <w:r>
        <w:t xml:space="preserve"> za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predstavničkih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je </w:t>
      </w:r>
      <w:proofErr w:type="spellStart"/>
      <w:r>
        <w:t>nastao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velikog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za </w:t>
      </w:r>
      <w:proofErr w:type="spellStart"/>
      <w:r>
        <w:t>prisustvovanje</w:t>
      </w:r>
      <w:proofErr w:type="spellEnd"/>
      <w:r>
        <w:t xml:space="preserve">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obora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Zagreba</w:t>
      </w:r>
      <w:proofErr w:type="spellEnd"/>
      <w:r>
        <w:t>.</w:t>
      </w:r>
    </w:p>
    <w:p w14:paraId="4175F3AD" w14:textId="77777777" w:rsidR="00E8555F" w:rsidRDefault="00E8555F"/>
    <w:p w14:paraId="4175F3AE" w14:textId="77777777" w:rsidR="00E8555F" w:rsidRDefault="0048565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55F" w14:paraId="4175F3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AF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B0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B1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B2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</w:t>
            </w:r>
            <w:r>
              <w:rPr>
                <w:b/>
                <w:sz w:val="18"/>
              </w:rPr>
              <w:t>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B3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B4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8555F" w14:paraId="4175F3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B6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5F3B7" w14:textId="77777777" w:rsidR="00E8555F" w:rsidRDefault="0048565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nespomenuti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B8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3B9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3BA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BB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236,5</w:t>
            </w:r>
          </w:p>
        </w:tc>
      </w:tr>
    </w:tbl>
    <w:p w14:paraId="4175F3BD" w14:textId="77777777" w:rsidR="00E8555F" w:rsidRDefault="00E8555F">
      <w:pPr>
        <w:spacing w:after="0"/>
      </w:pPr>
    </w:p>
    <w:p w14:paraId="4175F3BE" w14:textId="77777777" w:rsidR="00E8555F" w:rsidRDefault="0048565D">
      <w:proofErr w:type="spellStart"/>
      <w:r>
        <w:lastRenderedPageBreak/>
        <w:t>Uzrok</w:t>
      </w:r>
      <w:proofErr w:type="spellEnd"/>
      <w:r>
        <w:t xml:space="preserve"> </w:t>
      </w:r>
      <w:proofErr w:type="spellStart"/>
      <w:r>
        <w:t>povećanog</w:t>
      </w:r>
      <w:proofErr w:type="spellEnd"/>
      <w:r>
        <w:t xml:space="preserve"> </w:t>
      </w:r>
      <w:proofErr w:type="spellStart"/>
      <w:r>
        <w:t>troška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nespomenutih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2026. </w:t>
      </w:r>
      <w:proofErr w:type="spellStart"/>
      <w:r>
        <w:t>godini</w:t>
      </w:r>
      <w:proofErr w:type="spellEnd"/>
      <w:r>
        <w:t xml:space="preserve"> je </w:t>
      </w:r>
      <w:proofErr w:type="spellStart"/>
      <w:r>
        <w:t>nabava</w:t>
      </w:r>
      <w:proofErr w:type="spellEnd"/>
      <w:r>
        <w:t xml:space="preserve"> 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MZOM-a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Zagreba</w:t>
      </w:r>
      <w:proofErr w:type="spellEnd"/>
      <w:r>
        <w:t>.</w:t>
      </w:r>
    </w:p>
    <w:p w14:paraId="4175F3BF" w14:textId="77777777" w:rsidR="00E8555F" w:rsidRDefault="00E8555F"/>
    <w:p w14:paraId="4175F3C0" w14:textId="77777777" w:rsidR="00E8555F" w:rsidRDefault="0048565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55F" w14:paraId="4175F3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C1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C2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C3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C4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C5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</w:t>
            </w:r>
            <w:r>
              <w:rPr>
                <w:b/>
                <w:sz w:val="18"/>
              </w:rPr>
              <w:t>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C6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8555F" w14:paraId="4175F3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C8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5F3C9" w14:textId="77777777" w:rsidR="00E8555F" w:rsidRDefault="0048565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građanima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kućanstvima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novcu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CA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3CB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3CC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CD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175F3CF" w14:textId="77777777" w:rsidR="00E8555F" w:rsidRDefault="00E8555F">
      <w:pPr>
        <w:spacing w:after="0"/>
      </w:pPr>
    </w:p>
    <w:p w14:paraId="4175F3D0" w14:textId="77777777" w:rsidR="00E8555F" w:rsidRDefault="0048565D"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nagradu</w:t>
      </w:r>
      <w:proofErr w:type="spellEnd"/>
      <w:r>
        <w:t xml:space="preserve"> "Professor Balthazar" za </w:t>
      </w:r>
      <w:proofErr w:type="spellStart"/>
      <w:r>
        <w:t>osvojeno</w:t>
      </w:r>
      <w:proofErr w:type="spellEnd"/>
      <w:r>
        <w:t xml:space="preserve"> 1.,2. </w:t>
      </w:r>
      <w:proofErr w:type="spellStart"/>
      <w:r>
        <w:t>ili</w:t>
      </w:r>
      <w:proofErr w:type="spellEnd"/>
      <w:r>
        <w:t xml:space="preserve"> 3.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natjecanjima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dodijeljuje</w:t>
      </w:r>
      <w:proofErr w:type="spellEnd"/>
      <w:r>
        <w:t xml:space="preserve"> Grad Zagreb. </w:t>
      </w:r>
    </w:p>
    <w:p w14:paraId="4175F3D1" w14:textId="77777777" w:rsidR="00E8555F" w:rsidRDefault="00E8555F"/>
    <w:p w14:paraId="4175F3D2" w14:textId="77777777" w:rsidR="00E8555F" w:rsidRDefault="0048565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55F" w14:paraId="4175F3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D3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D4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D5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D6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D7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</w:t>
            </w:r>
            <w:r>
              <w:rPr>
                <w:b/>
                <w:sz w:val="18"/>
              </w:rPr>
              <w:t>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D8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8555F" w14:paraId="4175F3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DA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5F3DB" w14:textId="77777777" w:rsidR="00E8555F" w:rsidRDefault="0048565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građanima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kućanstvima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naravi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DC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3DD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3DE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DF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184,7</w:t>
            </w:r>
          </w:p>
        </w:tc>
      </w:tr>
    </w:tbl>
    <w:p w14:paraId="4175F3E1" w14:textId="77777777" w:rsidR="00E8555F" w:rsidRDefault="00E8555F">
      <w:pPr>
        <w:spacing w:after="0"/>
      </w:pPr>
    </w:p>
    <w:p w14:paraId="4175F3E2" w14:textId="77777777" w:rsidR="00E8555F" w:rsidRDefault="0048565D">
      <w:proofErr w:type="spellStart"/>
      <w:r>
        <w:t>Naknade</w:t>
      </w:r>
      <w:proofErr w:type="spellEnd"/>
      <w:r>
        <w:t xml:space="preserve"> </w:t>
      </w:r>
      <w:proofErr w:type="spellStart"/>
      <w:r>
        <w:t>građanima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kućanstvima</w:t>
      </w:r>
      <w:proofErr w:type="spellEnd"/>
      <w:r>
        <w:t xml:space="preserve"> u </w:t>
      </w:r>
      <w:proofErr w:type="spellStart"/>
      <w:r>
        <w:t>naravi</w:t>
      </w:r>
      <w:proofErr w:type="spellEnd"/>
      <w:r>
        <w:t xml:space="preserve"> </w:t>
      </w:r>
      <w:proofErr w:type="spellStart"/>
      <w:r>
        <w:t>sastoje</w:t>
      </w:r>
      <w:proofErr w:type="spellEnd"/>
      <w:r>
        <w:t xml:space="preserve"> se od </w:t>
      </w:r>
      <w:proofErr w:type="spellStart"/>
      <w:r>
        <w:t>besplatne</w:t>
      </w:r>
      <w:proofErr w:type="spellEnd"/>
      <w:r>
        <w:t xml:space="preserve"> </w:t>
      </w:r>
      <w:proofErr w:type="spellStart"/>
      <w:r>
        <w:t>prehrane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izleta</w:t>
      </w:r>
      <w:proofErr w:type="spellEnd"/>
      <w:r>
        <w:t xml:space="preserve"> za </w:t>
      </w:r>
      <w:proofErr w:type="spellStart"/>
      <w:r>
        <w:t>učenike</w:t>
      </w:r>
      <w:proofErr w:type="spellEnd"/>
      <w:r>
        <w:t xml:space="preserve"> </w:t>
      </w:r>
      <w:proofErr w:type="spellStart"/>
      <w:r>
        <w:t>slabijeg</w:t>
      </w:r>
      <w:proofErr w:type="spellEnd"/>
      <w:r>
        <w:t xml:space="preserve"> </w:t>
      </w:r>
      <w:proofErr w:type="spellStart"/>
      <w:r>
        <w:t>imovnog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financira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prikupljenim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Božićnom</w:t>
      </w:r>
      <w:proofErr w:type="spellEnd"/>
      <w:r>
        <w:t xml:space="preserve"> </w:t>
      </w:r>
      <w:proofErr w:type="spellStart"/>
      <w:r>
        <w:t>sajmu</w:t>
      </w:r>
      <w:proofErr w:type="spellEnd"/>
      <w:r>
        <w:t>.</w:t>
      </w:r>
    </w:p>
    <w:p w14:paraId="4175F3E3" w14:textId="77777777" w:rsidR="00E8555F" w:rsidRDefault="00E8555F"/>
    <w:p w14:paraId="4175F3E4" w14:textId="77777777" w:rsidR="00E8555F" w:rsidRDefault="0048565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55F" w14:paraId="4175F3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E5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E6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E7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E8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</w:t>
            </w:r>
            <w:r>
              <w:rPr>
                <w:b/>
                <w:sz w:val="18"/>
              </w:rPr>
              <w:t>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E9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EA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8555F" w14:paraId="4175F3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EC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5F3ED" w14:textId="77777777" w:rsidR="00E8555F" w:rsidRDefault="0048565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proizvedene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dugotrajne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EE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3EF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512,98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3F0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3.563,31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F1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694,6</w:t>
            </w:r>
          </w:p>
        </w:tc>
      </w:tr>
    </w:tbl>
    <w:p w14:paraId="4175F3F3" w14:textId="77777777" w:rsidR="00E8555F" w:rsidRDefault="00E8555F">
      <w:pPr>
        <w:spacing w:after="0"/>
      </w:pPr>
    </w:p>
    <w:p w14:paraId="4175F3F4" w14:textId="77777777" w:rsidR="00E8555F" w:rsidRDefault="0048565D">
      <w:r>
        <w:t xml:space="preserve">Za </w:t>
      </w:r>
      <w:proofErr w:type="spellStart"/>
      <w:r>
        <w:t>razliku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prve</w:t>
      </w:r>
      <w:proofErr w:type="spellEnd"/>
      <w:r>
        <w:t xml:space="preserve"> </w:t>
      </w:r>
      <w:proofErr w:type="spellStart"/>
      <w:r>
        <w:t>polovine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imali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male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proizvedene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2026.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nabavili</w:t>
      </w:r>
      <w:proofErr w:type="spellEnd"/>
      <w:r>
        <w:t xml:space="preserve"> </w:t>
      </w:r>
      <w:proofErr w:type="spellStart"/>
      <w:r>
        <w:t>uredski</w:t>
      </w:r>
      <w:proofErr w:type="spellEnd"/>
      <w:r>
        <w:t xml:space="preserve"> </w:t>
      </w:r>
      <w:proofErr w:type="spellStart"/>
      <w:r>
        <w:t>namještaj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3.073,46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komunikacijsku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454,30 </w:t>
      </w:r>
      <w:proofErr w:type="spellStart"/>
      <w:r>
        <w:t>i</w:t>
      </w:r>
      <w:proofErr w:type="spellEnd"/>
      <w:r>
        <w:t xml:space="preserve"> </w:t>
      </w:r>
      <w:proofErr w:type="spellStart"/>
      <w:r>
        <w:t>knjige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35,55 </w:t>
      </w:r>
      <w:proofErr w:type="spellStart"/>
      <w:r>
        <w:t>e</w:t>
      </w:r>
      <w:r>
        <w:t>ura</w:t>
      </w:r>
      <w:proofErr w:type="spellEnd"/>
      <w:r>
        <w:t>.</w:t>
      </w:r>
    </w:p>
    <w:p w14:paraId="4175F3F5" w14:textId="77777777" w:rsidR="00E8555F" w:rsidRDefault="00E8555F"/>
    <w:p w14:paraId="4175F3F6" w14:textId="77777777" w:rsidR="00E8555F" w:rsidRDefault="0048565D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55F" w14:paraId="4175F3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F7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F8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F9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FA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FB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3FC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8555F" w14:paraId="4175F4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3FE" w14:textId="77777777" w:rsidR="00E8555F" w:rsidRDefault="00E8555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5F3FF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400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401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402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2.519,46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403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175F405" w14:textId="77777777" w:rsidR="00E8555F" w:rsidRDefault="00E8555F">
      <w:pPr>
        <w:spacing w:after="0"/>
      </w:pPr>
    </w:p>
    <w:p w14:paraId="4175F406" w14:textId="77777777" w:rsidR="00E8555F" w:rsidRDefault="0048565D">
      <w:proofErr w:type="spellStart"/>
      <w:r>
        <w:t>Višak</w:t>
      </w:r>
      <w:proofErr w:type="spellEnd"/>
      <w:r>
        <w:t xml:space="preserve"> je </w:t>
      </w:r>
      <w:proofErr w:type="spellStart"/>
      <w:r>
        <w:t>nastao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nismo</w:t>
      </w:r>
      <w:proofErr w:type="spellEnd"/>
      <w:r>
        <w:t xml:space="preserve"> </w:t>
      </w:r>
      <w:proofErr w:type="spellStart"/>
      <w:r>
        <w:t>utrošili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donacije</w:t>
      </w:r>
      <w:proofErr w:type="spellEnd"/>
      <w:r>
        <w:t xml:space="preserve">, EU </w:t>
      </w:r>
      <w:proofErr w:type="spellStart"/>
      <w:r>
        <w:t>projekta</w:t>
      </w:r>
      <w:proofErr w:type="spellEnd"/>
      <w:r>
        <w:t xml:space="preserve"> TINKER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participativnog</w:t>
      </w:r>
      <w:proofErr w:type="spellEnd"/>
      <w:r>
        <w:t xml:space="preserve"> </w:t>
      </w:r>
      <w:proofErr w:type="spellStart"/>
      <w:r>
        <w:t>budžetiranja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>.</w:t>
      </w:r>
    </w:p>
    <w:p w14:paraId="4175F407" w14:textId="77777777" w:rsidR="00E8555F" w:rsidRDefault="00E8555F"/>
    <w:p w14:paraId="4175F408" w14:textId="77777777" w:rsidR="00E8555F" w:rsidRDefault="0048565D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14:paraId="4175F409" w14:textId="77777777" w:rsidR="00E8555F" w:rsidRDefault="0048565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8555F" w14:paraId="4175F4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40A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40B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40C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40D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F40E" w14:textId="77777777" w:rsidR="00E8555F" w:rsidRDefault="004856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8555F" w14:paraId="4175F4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410" w14:textId="77777777" w:rsidR="00E8555F" w:rsidRDefault="00E8555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5F411" w14:textId="77777777" w:rsidR="00E8555F" w:rsidRDefault="0048565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412" w14:textId="77777777" w:rsidR="00E8555F" w:rsidRDefault="004856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F413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5F414" w14:textId="77777777" w:rsidR="00E8555F" w:rsidRDefault="004856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175F416" w14:textId="77777777" w:rsidR="00E8555F" w:rsidRDefault="00E8555F">
      <w:pPr>
        <w:spacing w:after="0"/>
      </w:pPr>
    </w:p>
    <w:p w14:paraId="4175F417" w14:textId="77777777" w:rsidR="00E8555F" w:rsidRDefault="0048565D">
      <w:r>
        <w:t xml:space="preserve">Na dan 30.06.2026. </w:t>
      </w:r>
      <w:proofErr w:type="spellStart"/>
      <w:r>
        <w:t>ukupne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OŠ Ivana Filipovića </w:t>
      </w:r>
      <w:proofErr w:type="spellStart"/>
      <w:r>
        <w:t>iznose</w:t>
      </w:r>
      <w:proofErr w:type="spellEnd"/>
      <w:r>
        <w:t xml:space="preserve"> 129.733,99 </w:t>
      </w:r>
      <w:proofErr w:type="spellStart"/>
      <w:r>
        <w:t>eura</w:t>
      </w:r>
      <w:proofErr w:type="spellEnd"/>
      <w:r>
        <w:t xml:space="preserve">. </w:t>
      </w:r>
      <w:proofErr w:type="spellStart"/>
      <w:r>
        <w:t>Sastoje</w:t>
      </w:r>
      <w:proofErr w:type="spellEnd"/>
      <w:r>
        <w:t xml:space="preserve"> se od </w:t>
      </w:r>
      <w:proofErr w:type="spellStart"/>
      <w:r>
        <w:t>nedospjelih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za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(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za 06/2026 </w:t>
      </w:r>
      <w:proofErr w:type="spellStart"/>
      <w:r>
        <w:t>i</w:t>
      </w:r>
      <w:proofErr w:type="spellEnd"/>
      <w:r>
        <w:t xml:space="preserve"> </w:t>
      </w:r>
      <w:proofErr w:type="spellStart"/>
      <w:r>
        <w:t>račune</w:t>
      </w:r>
      <w:proofErr w:type="spellEnd"/>
      <w:r>
        <w:t xml:space="preserve"> </w:t>
      </w:r>
      <w:proofErr w:type="spellStart"/>
      <w:r>
        <w:t>pristigle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</w:t>
      </w:r>
      <w:proofErr w:type="spellStart"/>
      <w:r>
        <w:t>srpnja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lipanj</w:t>
      </w:r>
      <w:proofErr w:type="spellEnd"/>
      <w:r>
        <w:t xml:space="preserve">), </w:t>
      </w:r>
      <w:proofErr w:type="spellStart"/>
      <w:r>
        <w:t>nezatvorenih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za </w:t>
      </w:r>
      <w:proofErr w:type="spellStart"/>
      <w:r>
        <w:t>bolovanj</w:t>
      </w:r>
      <w:r>
        <w:t>e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42 dana </w:t>
      </w:r>
      <w:proofErr w:type="spellStart"/>
      <w:r>
        <w:t>između</w:t>
      </w:r>
      <w:proofErr w:type="spellEnd"/>
      <w:r>
        <w:t xml:space="preserve"> MZO-a </w:t>
      </w:r>
      <w:proofErr w:type="spellStart"/>
      <w:r>
        <w:t>i</w:t>
      </w:r>
      <w:proofErr w:type="spellEnd"/>
      <w:r>
        <w:t xml:space="preserve"> HZZO-a </w:t>
      </w:r>
      <w:proofErr w:type="spellStart"/>
      <w:r>
        <w:t>i</w:t>
      </w:r>
      <w:proofErr w:type="spellEnd"/>
      <w:r>
        <w:t xml:space="preserve"> </w:t>
      </w:r>
      <w:proofErr w:type="spellStart"/>
      <w:r>
        <w:t>neutrošenih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po EU </w:t>
      </w:r>
      <w:proofErr w:type="spellStart"/>
      <w:r>
        <w:t>projektu</w:t>
      </w:r>
      <w:proofErr w:type="spellEnd"/>
      <w:r>
        <w:t xml:space="preserve"> ERASMUS+ TINKER.</w:t>
      </w:r>
    </w:p>
    <w:p w14:paraId="4175F418" w14:textId="77777777" w:rsidR="00E8555F" w:rsidRDefault="0048565D">
      <w:r>
        <w:t> </w:t>
      </w:r>
    </w:p>
    <w:p w14:paraId="4175F419" w14:textId="77777777" w:rsidR="00E8555F" w:rsidRDefault="00E8555F"/>
    <w:p w14:paraId="4175F41A" w14:textId="77777777" w:rsidR="00E8555F" w:rsidRDefault="0048565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18.</w:t>
      </w:r>
    </w:p>
    <w:p w14:paraId="4175F41B" w14:textId="77777777" w:rsidR="00E8555F" w:rsidRDefault="0048565D">
      <w:pPr>
        <w:spacing w:line="240" w:lineRule="auto"/>
        <w:jc w:val="both"/>
      </w:pPr>
      <w:r>
        <w:rPr>
          <w:b/>
        </w:rPr>
        <w:t xml:space="preserve">EU </w:t>
      </w:r>
      <w:proofErr w:type="spellStart"/>
      <w:r>
        <w:rPr>
          <w:b/>
        </w:rPr>
        <w:t>izvještaj</w:t>
      </w:r>
      <w:proofErr w:type="spellEnd"/>
    </w:p>
    <w:p w14:paraId="4175F41C" w14:textId="77777777" w:rsidR="00E8555F" w:rsidRDefault="0048565D">
      <w:r>
        <w:t xml:space="preserve">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EU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Zagreba</w:t>
      </w:r>
      <w:proofErr w:type="spellEnd"/>
      <w:r>
        <w:t xml:space="preserve"> pod </w:t>
      </w:r>
      <w:proofErr w:type="spellStart"/>
      <w:r>
        <w:t>nazivom</w:t>
      </w:r>
      <w:proofErr w:type="spellEnd"/>
      <w:r>
        <w:t xml:space="preserve"> „</w:t>
      </w:r>
      <w:proofErr w:type="spellStart"/>
      <w:r>
        <w:t>Pomoćnici</w:t>
      </w:r>
      <w:proofErr w:type="spellEnd"/>
      <w:r>
        <w:t xml:space="preserve"> u </w:t>
      </w:r>
      <w:proofErr w:type="spellStart"/>
      <w:r>
        <w:t>nastavi</w:t>
      </w:r>
      <w:proofErr w:type="spellEnd"/>
      <w:r>
        <w:t>/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komunikacijski</w:t>
      </w:r>
      <w:proofErr w:type="spellEnd"/>
      <w:r>
        <w:t xml:space="preserve"> </w:t>
      </w:r>
      <w:proofErr w:type="spellStart"/>
      <w:r>
        <w:t>posrednici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potpora</w:t>
      </w:r>
      <w:proofErr w:type="spellEnd"/>
      <w:r>
        <w:t xml:space="preserve"> </w:t>
      </w:r>
      <w:proofErr w:type="spellStart"/>
      <w:r>
        <w:t>inkluzivno</w:t>
      </w:r>
      <w:r>
        <w:t>m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, </w:t>
      </w:r>
      <w:proofErr w:type="spellStart"/>
      <w:r>
        <w:t>faza</w:t>
      </w:r>
      <w:proofErr w:type="spellEnd"/>
      <w:r>
        <w:t xml:space="preserve"> VII“, koji se </w:t>
      </w:r>
      <w:proofErr w:type="spellStart"/>
      <w:r>
        <w:t>financira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Europskog</w:t>
      </w:r>
      <w:proofErr w:type="spellEnd"/>
      <w:r>
        <w:t xml:space="preserve"> </w:t>
      </w:r>
      <w:proofErr w:type="spellStart"/>
      <w:r>
        <w:t>socijalnog</w:t>
      </w:r>
      <w:proofErr w:type="spellEnd"/>
      <w:r>
        <w:t xml:space="preserve"> </w:t>
      </w:r>
      <w:proofErr w:type="spellStart"/>
      <w:r>
        <w:t>fonda</w:t>
      </w:r>
      <w:proofErr w:type="spellEnd"/>
      <w:r>
        <w:t xml:space="preserve"> plus 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„</w:t>
      </w:r>
      <w:proofErr w:type="spellStart"/>
      <w:r>
        <w:t>Učinkoviti</w:t>
      </w:r>
      <w:proofErr w:type="spellEnd"/>
      <w:r>
        <w:t xml:space="preserve"> </w:t>
      </w:r>
      <w:proofErr w:type="spellStart"/>
      <w:r>
        <w:t>ljudski</w:t>
      </w:r>
      <w:proofErr w:type="spellEnd"/>
      <w:r>
        <w:t xml:space="preserve"> </w:t>
      </w:r>
      <w:proofErr w:type="spellStart"/>
      <w:r>
        <w:t>potencijali</w:t>
      </w:r>
      <w:proofErr w:type="spellEnd"/>
      <w:r>
        <w:t xml:space="preserve"> 2021.–2027.“ </w:t>
      </w:r>
      <w:proofErr w:type="spellStart"/>
      <w:r>
        <w:t>Osnovna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Ivana Filipovića </w:t>
      </w:r>
      <w:proofErr w:type="spellStart"/>
      <w:r>
        <w:t>sudjeluje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partner u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za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za </w:t>
      </w:r>
      <w:proofErr w:type="spellStart"/>
      <w:r>
        <w:t>izvr</w:t>
      </w:r>
      <w:r>
        <w:t>šavanje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pomoćnika</w:t>
      </w:r>
      <w:proofErr w:type="spellEnd"/>
      <w:r>
        <w:t xml:space="preserve"> u </w:t>
      </w:r>
      <w:proofErr w:type="spellStart"/>
      <w:r>
        <w:t>nastavi</w:t>
      </w:r>
      <w:proofErr w:type="spellEnd"/>
      <w:r>
        <w:t>/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komunikacijskog</w:t>
      </w:r>
      <w:proofErr w:type="spellEnd"/>
      <w:r>
        <w:t xml:space="preserve"> </w:t>
      </w:r>
      <w:proofErr w:type="spellStart"/>
      <w:r>
        <w:t>posrednika</w:t>
      </w:r>
      <w:proofErr w:type="spellEnd"/>
      <w:r>
        <w:t xml:space="preserve"> u </w:t>
      </w:r>
      <w:proofErr w:type="spellStart"/>
      <w:r>
        <w:t>osnovnim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srednjim</w:t>
      </w:r>
      <w:proofErr w:type="spellEnd"/>
      <w:r>
        <w:t xml:space="preserve"> </w:t>
      </w:r>
      <w:proofErr w:type="spellStart"/>
      <w:r>
        <w:t>školama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osnivač</w:t>
      </w:r>
      <w:proofErr w:type="spellEnd"/>
      <w:r>
        <w:t xml:space="preserve"> Grad Zagreb. </w:t>
      </w:r>
      <w:proofErr w:type="spellStart"/>
      <w:r>
        <w:t>Ukupna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prijenosom</w:t>
      </w:r>
      <w:proofErr w:type="spellEnd"/>
      <w:r>
        <w:t xml:space="preserve"> </w:t>
      </w:r>
      <w:proofErr w:type="spellStart"/>
      <w:r>
        <w:t>dobili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Zagreba</w:t>
      </w:r>
      <w:proofErr w:type="spellEnd"/>
      <w:r>
        <w:t xml:space="preserve"> koji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13.491,31 </w:t>
      </w:r>
      <w:proofErr w:type="spellStart"/>
      <w:r>
        <w:t>eura</w:t>
      </w:r>
      <w:proofErr w:type="spellEnd"/>
      <w:r>
        <w:t xml:space="preserve">. </w:t>
      </w:r>
      <w:proofErr w:type="spellStart"/>
      <w:r>
        <w:t>Sva</w:t>
      </w:r>
      <w:proofErr w:type="spellEnd"/>
      <w:r>
        <w:t xml:space="preserve"> </w:t>
      </w:r>
      <w:proofErr w:type="spellStart"/>
      <w:r>
        <w:t>dobivena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utrošena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, </w:t>
      </w:r>
      <w:proofErr w:type="spellStart"/>
      <w:r>
        <w:t>doprinose</w:t>
      </w:r>
      <w:proofErr w:type="spellEnd"/>
      <w:r>
        <w:t xml:space="preserve">, </w:t>
      </w:r>
      <w:proofErr w:type="spellStart"/>
      <w:r>
        <w:t>prijevoz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dnevnice</w:t>
      </w:r>
      <w:proofErr w:type="spellEnd"/>
      <w:r>
        <w:t xml:space="preserve"> za </w:t>
      </w:r>
      <w:proofErr w:type="spellStart"/>
      <w:r>
        <w:t>službena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 xml:space="preserve"> </w:t>
      </w:r>
      <w:proofErr w:type="spellStart"/>
      <w:r>
        <w:t>Pomoćnika</w:t>
      </w:r>
      <w:proofErr w:type="spellEnd"/>
      <w:r>
        <w:t xml:space="preserve"> u </w:t>
      </w:r>
      <w:proofErr w:type="spellStart"/>
      <w:r>
        <w:t>nastavi</w:t>
      </w:r>
      <w:proofErr w:type="spellEnd"/>
      <w:r>
        <w:t>.</w:t>
      </w:r>
    </w:p>
    <w:p w14:paraId="4175F41D" w14:textId="77777777" w:rsidR="00E8555F" w:rsidRDefault="0048565D">
      <w:r>
        <w:t xml:space="preserve">OŠ Ivana Filipovića je </w:t>
      </w:r>
      <w:proofErr w:type="spellStart"/>
      <w:r>
        <w:t>kao</w:t>
      </w:r>
      <w:proofErr w:type="spellEnd"/>
      <w:r>
        <w:t xml:space="preserve"> partner </w:t>
      </w:r>
      <w:proofErr w:type="spellStart"/>
      <w:r>
        <w:t>sudjelovala</w:t>
      </w:r>
      <w:proofErr w:type="spellEnd"/>
      <w:r>
        <w:t xml:space="preserve"> u </w:t>
      </w:r>
      <w:proofErr w:type="spellStart"/>
      <w:r>
        <w:t>projektu</w:t>
      </w:r>
      <w:proofErr w:type="spellEnd"/>
      <w:r>
        <w:t> ERASMUS+ TINKER (</w:t>
      </w:r>
      <w:proofErr w:type="spellStart"/>
      <w:r>
        <w:t>autentičan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okvir</w:t>
      </w:r>
      <w:proofErr w:type="spellEnd"/>
      <w:r>
        <w:t xml:space="preserve"> za </w:t>
      </w:r>
      <w:proofErr w:type="spellStart"/>
      <w:r>
        <w:t>učenje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rodno</w:t>
      </w:r>
      <w:proofErr w:type="spellEnd"/>
      <w:r>
        <w:t xml:space="preserve"> </w:t>
      </w:r>
      <w:proofErr w:type="spellStart"/>
      <w:r>
        <w:t>uključivo</w:t>
      </w:r>
      <w:proofErr w:type="spellEnd"/>
      <w:r>
        <w:t xml:space="preserve"> </w:t>
      </w:r>
      <w:proofErr w:type="spellStart"/>
      <w:r>
        <w:t>poučavanje</w:t>
      </w:r>
      <w:proofErr w:type="spellEnd"/>
      <w:r>
        <w:t xml:space="preserve"> </w:t>
      </w:r>
      <w:proofErr w:type="spellStart"/>
      <w:r>
        <w:t>informatike</w:t>
      </w:r>
      <w:proofErr w:type="spellEnd"/>
      <w:r>
        <w:t xml:space="preserve"> u </w:t>
      </w:r>
      <w:proofErr w:type="spellStart"/>
      <w:r>
        <w:t>školama</w:t>
      </w:r>
      <w:proofErr w:type="spellEnd"/>
      <w:r>
        <w:t xml:space="preserve"> </w:t>
      </w:r>
      <w:proofErr w:type="spellStart"/>
      <w:r>
        <w:t>d</w:t>
      </w:r>
      <w:r>
        <w:t>iljem</w:t>
      </w:r>
      <w:proofErr w:type="spellEnd"/>
      <w:r>
        <w:t xml:space="preserve"> Europe)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nositelj</w:t>
      </w:r>
      <w:proofErr w:type="spellEnd"/>
      <w:r>
        <w:t xml:space="preserve"> </w:t>
      </w:r>
      <w:proofErr w:type="spellStart"/>
      <w:r>
        <w:t>Sveučilište</w:t>
      </w:r>
      <w:proofErr w:type="spellEnd"/>
      <w:r>
        <w:t xml:space="preserve"> u </w:t>
      </w:r>
      <w:proofErr w:type="spellStart"/>
      <w:r>
        <w:t>Zagrebu</w:t>
      </w:r>
      <w:proofErr w:type="spellEnd"/>
      <w:r>
        <w:t xml:space="preserve"> </w:t>
      </w:r>
      <w:proofErr w:type="spellStart"/>
      <w:r>
        <w:t>Fakultet</w:t>
      </w:r>
      <w:proofErr w:type="spellEnd"/>
      <w:r>
        <w:t xml:space="preserve"> </w:t>
      </w:r>
      <w:proofErr w:type="spellStart"/>
      <w:r>
        <w:t>elektrotehnike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računarstva</w:t>
      </w:r>
      <w:proofErr w:type="spellEnd"/>
      <w:r>
        <w:t xml:space="preserve">. </w:t>
      </w:r>
      <w:proofErr w:type="spellStart"/>
      <w:r>
        <w:t>Sudjelovanjem</w:t>
      </w:r>
      <w:proofErr w:type="spellEnd"/>
      <w:r>
        <w:t xml:space="preserve"> u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je </w:t>
      </w:r>
      <w:proofErr w:type="spellStart"/>
      <w:r>
        <w:t>dobila</w:t>
      </w:r>
      <w:proofErr w:type="spellEnd"/>
      <w:r>
        <w:t xml:space="preserve"> 1.500,00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utrošila</w:t>
      </w:r>
      <w:proofErr w:type="spellEnd"/>
      <w:r>
        <w:t>.</w:t>
      </w:r>
    </w:p>
    <w:p w14:paraId="4175F41E" w14:textId="77777777" w:rsidR="00E8555F" w:rsidRDefault="00E8555F"/>
    <w:sectPr w:rsidR="00E855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55F"/>
    <w:rsid w:val="0048565D"/>
    <w:rsid w:val="00E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F29A"/>
  <w15:docId w15:val="{3588D38C-D66A-4BE7-9F7D-9C46CB45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1448</Words>
  <Characters>8259</Characters>
  <Application>Microsoft Office Word</Application>
  <DocSecurity>0</DocSecurity>
  <Lines>68</Lines>
  <Paragraphs>19</Paragraphs>
  <ScaleCrop>false</ScaleCrop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Karmen Auguštin</cp:lastModifiedBy>
  <cp:revision>2</cp:revision>
  <dcterms:created xsi:type="dcterms:W3CDTF">2026-07-17T12:16:00Z</dcterms:created>
  <dcterms:modified xsi:type="dcterms:W3CDTF">2026-07-17T12:16:00Z</dcterms:modified>
</cp:coreProperties>
</file>