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04A85" w14:paraId="24AEB7E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AEB7E5" w14:textId="77777777" w:rsidR="00D04A85" w:rsidRDefault="00452454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4AEB7E6" w14:textId="77777777" w:rsidR="00D04A85" w:rsidRDefault="00452454">
            <w:pPr>
              <w:spacing w:after="0" w:line="240" w:lineRule="auto"/>
            </w:pPr>
            <w:r>
              <w:t>15034</w:t>
            </w:r>
          </w:p>
        </w:tc>
      </w:tr>
      <w:tr w:rsidR="00D04A85" w14:paraId="24AEB7E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AEB7E8" w14:textId="77777777" w:rsidR="00D04A85" w:rsidRDefault="00452454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4AEB7E9" w14:textId="77777777" w:rsidR="00D04A85" w:rsidRDefault="00452454">
            <w:pPr>
              <w:spacing w:after="0" w:line="240" w:lineRule="auto"/>
            </w:pPr>
            <w:r>
              <w:t>O.Š. IVANA FILIPOVIĆA, ZAGREB</w:t>
            </w:r>
          </w:p>
        </w:tc>
      </w:tr>
      <w:tr w:rsidR="00D04A85" w14:paraId="24AEB7E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AEB7EB" w14:textId="77777777" w:rsidR="00D04A85" w:rsidRDefault="00452454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4AEB7EC" w14:textId="77777777" w:rsidR="00D04A85" w:rsidRDefault="00452454">
            <w:pPr>
              <w:spacing w:after="0" w:line="240" w:lineRule="auto"/>
            </w:pPr>
            <w:r>
              <w:t>31</w:t>
            </w:r>
          </w:p>
        </w:tc>
      </w:tr>
    </w:tbl>
    <w:p w14:paraId="24AEB7EE" w14:textId="77777777" w:rsidR="00D04A85" w:rsidRDefault="00452454">
      <w:r>
        <w:br/>
      </w:r>
    </w:p>
    <w:p w14:paraId="4B383E10" w14:textId="77777777" w:rsidR="00DD75C7" w:rsidRDefault="00DD75C7"/>
    <w:p w14:paraId="24AEB7EF" w14:textId="77777777" w:rsidR="00D04A85" w:rsidRDefault="00452454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BILJEŠKE UZ FINANCIJSKE IZVJEŠTAJE</w:t>
      </w:r>
    </w:p>
    <w:p w14:paraId="24AEB7F0" w14:textId="77777777" w:rsidR="00D04A85" w:rsidRDefault="00452454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ZA RAZDOBLJE</w:t>
      </w:r>
    </w:p>
    <w:p w14:paraId="24AEB7F2" w14:textId="75AC037A" w:rsidR="00D04A85" w:rsidRDefault="00452454" w:rsidP="00DD75C7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I - XII 2025.</w:t>
      </w:r>
    </w:p>
    <w:p w14:paraId="08CA96EC" w14:textId="77777777" w:rsidR="00DD75C7" w:rsidRDefault="00DD75C7"/>
    <w:p w14:paraId="0168AA93" w14:textId="650740D6" w:rsidR="00DD75C7" w:rsidRDefault="00452454" w:rsidP="00DD75C7">
      <w:pPr>
        <w:keepNext/>
        <w:spacing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Izvještaj</w:t>
      </w:r>
      <w:proofErr w:type="spellEnd"/>
      <w:r>
        <w:rPr>
          <w:rFonts w:ascii="Times New Roman" w:hAnsi="Times New Roman"/>
          <w:b/>
          <w:sz w:val="28"/>
        </w:rPr>
        <w:t xml:space="preserve"> o </w:t>
      </w:r>
      <w:proofErr w:type="spellStart"/>
      <w:r>
        <w:rPr>
          <w:rFonts w:ascii="Times New Roman" w:hAnsi="Times New Roman"/>
          <w:b/>
          <w:sz w:val="28"/>
        </w:rPr>
        <w:t>prihodima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rashodima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primicima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izdacima</w:t>
      </w:r>
      <w:proofErr w:type="spellEnd"/>
    </w:p>
    <w:p w14:paraId="38BB71B4" w14:textId="77777777" w:rsidR="00DD75C7" w:rsidRPr="00DD75C7" w:rsidRDefault="00DD75C7" w:rsidP="00DD75C7">
      <w:pPr>
        <w:keepNext/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24AEB7F4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7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7F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7F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7F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7F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7F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7F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7FC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7FD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PRIHODI POSLOVANJA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7FE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7FF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1.620.740,52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00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1.792.264,64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01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110,6</w:t>
            </w:r>
          </w:p>
        </w:tc>
      </w:tr>
      <w:tr w:rsidR="00D04A85" w14:paraId="24AEB8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03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04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RASHODI POSLOVANJA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05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06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1.576.391,53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07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1.887.668,37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0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119,7</w:t>
            </w:r>
          </w:p>
        </w:tc>
      </w:tr>
      <w:tr w:rsidR="00D04A85" w14:paraId="24AEB8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0A" w14:textId="77777777" w:rsidR="00D04A85" w:rsidRDefault="00D04A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0B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MANJAK PRIHODA POSLOVANJA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0C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0D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0E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95.403,73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0F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D04A85" w14:paraId="24AEB8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11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12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Prihodi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od </w:t>
            </w:r>
            <w:proofErr w:type="spellStart"/>
            <w:r>
              <w:rPr>
                <w:rFonts w:ascii="Times New Roman" w:hAnsi="Times New Roman"/>
                <w:sz w:val="18"/>
              </w:rPr>
              <w:t>prodaje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nefinancijske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imovine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13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1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15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16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D04A85" w14:paraId="24AEB8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18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19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Rashodi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nabavu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nefinancijske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imovine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1A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1B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39.421,65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1C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15.036,43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1D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38,1</w:t>
            </w:r>
          </w:p>
        </w:tc>
      </w:tr>
      <w:tr w:rsidR="00D04A85" w14:paraId="24AEB8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1F" w14:textId="77777777" w:rsidR="00D04A85" w:rsidRDefault="00D04A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20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MANJAK PRIHODA OD NEFINANCIJSKE IMOVINE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21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22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39.421,65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23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15.036,43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2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38,1</w:t>
            </w:r>
          </w:p>
        </w:tc>
      </w:tr>
      <w:tr w:rsidR="00D04A85" w14:paraId="24AEB82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26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27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Primici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od </w:t>
            </w:r>
            <w:proofErr w:type="spellStart"/>
            <w:r>
              <w:rPr>
                <w:rFonts w:ascii="Times New Roman" w:hAnsi="Times New Roman"/>
                <w:sz w:val="18"/>
              </w:rPr>
              <w:t>financijske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imovine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zaduživanja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28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29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2A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2B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D04A85" w14:paraId="24AEB83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2D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2E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Izdaci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financijsku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imovinu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otplate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zajmova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2F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30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31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32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D04A85" w14:paraId="24AEB8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34" w14:textId="77777777" w:rsidR="00D04A85" w:rsidRDefault="00D04A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35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36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37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3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39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:rsidR="00D04A85" w14:paraId="24AEB8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3B" w14:textId="77777777" w:rsidR="00D04A85" w:rsidRDefault="00D04A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3C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MANJAK PRIHODA I PRIMITAKA (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3D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3E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3F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110.440,16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40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</w:tbl>
    <w:p w14:paraId="24AEB842" w14:textId="77777777" w:rsidR="00D04A85" w:rsidRDefault="00D04A85">
      <w:pPr>
        <w:spacing w:after="0"/>
      </w:pPr>
    </w:p>
    <w:p w14:paraId="24AEB844" w14:textId="28160421" w:rsidR="00D04A85" w:rsidRDefault="00452454">
      <w:proofErr w:type="spellStart"/>
      <w:r>
        <w:lastRenderedPageBreak/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od 110.440,16 </w:t>
      </w:r>
      <w:proofErr w:type="spellStart"/>
      <w:r>
        <w:t>eura</w:t>
      </w:r>
      <w:proofErr w:type="spellEnd"/>
      <w:r>
        <w:t xml:space="preserve"> je </w:t>
      </w:r>
      <w:proofErr w:type="spellStart"/>
      <w:r>
        <w:t>metodološki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knjiženju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. </w:t>
      </w:r>
      <w:proofErr w:type="spellStart"/>
      <w:r>
        <w:t>Propisano</w:t>
      </w:r>
      <w:proofErr w:type="spellEnd"/>
      <w:r>
        <w:t xml:space="preserve"> je da se </w:t>
      </w:r>
      <w:proofErr w:type="spellStart"/>
      <w:r>
        <w:t>podskupina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193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ukida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da se s </w:t>
      </w:r>
      <w:proofErr w:type="spellStart"/>
      <w:r>
        <w:t>danom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3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. Time je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knjižen</w:t>
      </w:r>
      <w:proofErr w:type="spellEnd"/>
      <w:r>
        <w:t xml:space="preserve"> </w:t>
      </w:r>
      <w:proofErr w:type="spellStart"/>
      <w:r>
        <w:t>rashod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za 13 </w:t>
      </w:r>
      <w:proofErr w:type="spellStart"/>
      <w:r>
        <w:t>mjeseci</w:t>
      </w:r>
      <w:proofErr w:type="spellEnd"/>
      <w:r>
        <w:t xml:space="preserve"> (od 12.2024. do 12.2025.), a </w:t>
      </w:r>
      <w:proofErr w:type="spellStart"/>
      <w:r>
        <w:t>prihod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za 12. </w:t>
      </w:r>
      <w:proofErr w:type="spellStart"/>
      <w:r>
        <w:t>mjeseci</w:t>
      </w:r>
      <w:proofErr w:type="spellEnd"/>
      <w:r>
        <w:t xml:space="preserve"> (12.2024. – 11.2025.). </w:t>
      </w:r>
      <w:proofErr w:type="spellStart"/>
      <w:r>
        <w:t>Radi</w:t>
      </w:r>
      <w:proofErr w:type="spellEnd"/>
      <w:r>
        <w:t xml:space="preserve"> se o </w:t>
      </w:r>
      <w:proofErr w:type="spellStart"/>
      <w:r>
        <w:t>iznosu</w:t>
      </w:r>
      <w:proofErr w:type="spellEnd"/>
      <w:r>
        <w:t xml:space="preserve"> od 128.624,96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promijenilo</w:t>
      </w:r>
      <w:proofErr w:type="spellEnd"/>
      <w:r>
        <w:t xml:space="preserve"> </w:t>
      </w:r>
      <w:proofErr w:type="spellStart"/>
      <w:r>
        <w:t>prikaz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OŠ Ivana Filipovića.</w:t>
      </w:r>
    </w:p>
    <w:p w14:paraId="24AEB845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4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4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4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4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4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4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4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4D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4E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Tekući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prijenosi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između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proračunskih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korisnika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istog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4F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50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51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52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4AEB854" w14:textId="77777777" w:rsidR="00D04A85" w:rsidRDefault="00D04A85">
      <w:pPr>
        <w:spacing w:after="0"/>
      </w:pPr>
    </w:p>
    <w:p w14:paraId="7516AA81" w14:textId="1E99B67E" w:rsidR="004A28A1" w:rsidRDefault="00452454">
      <w:proofErr w:type="spellStart"/>
      <w:r>
        <w:t>Sredstva</w:t>
      </w:r>
      <w:proofErr w:type="spellEnd"/>
      <w:r>
        <w:t xml:space="preserve"> za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medni</w:t>
      </w:r>
      <w:proofErr w:type="spellEnd"/>
      <w:r>
        <w:t xml:space="preserve"> dan s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pčelinjaka</w:t>
      </w:r>
      <w:proofErr w:type="spellEnd"/>
      <w:r>
        <w:t xml:space="preserve"> za 2025. </w:t>
      </w:r>
      <w:proofErr w:type="spellStart"/>
      <w:r>
        <w:t>godinu</w:t>
      </w:r>
      <w:proofErr w:type="spellEnd"/>
      <w:r>
        <w:t xml:space="preserve"> koji se </w:t>
      </w:r>
      <w:proofErr w:type="spellStart"/>
      <w:r>
        <w:t>organizira</w:t>
      </w:r>
      <w:proofErr w:type="spellEnd"/>
      <w:r>
        <w:t xml:space="preserve"> u </w:t>
      </w:r>
      <w:proofErr w:type="spellStart"/>
      <w:r>
        <w:t>prvim</w:t>
      </w:r>
      <w:proofErr w:type="spellEnd"/>
      <w:r>
        <w:t xml:space="preserve"> </w:t>
      </w:r>
      <w:proofErr w:type="spellStart"/>
      <w:r>
        <w:t>razredima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 xml:space="preserve"> u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gramStart"/>
      <w:r>
        <w:t>2025./</w:t>
      </w:r>
      <w:proofErr w:type="gramEnd"/>
      <w:r>
        <w:t xml:space="preserve">2026. </w:t>
      </w:r>
      <w:proofErr w:type="spellStart"/>
      <w:r>
        <w:t>na</w:t>
      </w:r>
      <w:proofErr w:type="spellEnd"/>
      <w:r>
        <w:t xml:space="preserve"> dan 8.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osigurana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–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, </w:t>
      </w:r>
      <w:proofErr w:type="spellStart"/>
      <w:r>
        <w:t>šumarstva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ribarstva</w:t>
      </w:r>
      <w:proofErr w:type="spellEnd"/>
      <w:r>
        <w:t>.</w:t>
      </w:r>
    </w:p>
    <w:p w14:paraId="24AEB857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5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5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5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5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5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5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5F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60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Tekući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prijenosi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između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proračunskih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korisnika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istog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proračuna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temeljem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prijenosa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EU </w:t>
            </w:r>
            <w:proofErr w:type="spellStart"/>
            <w:r>
              <w:rPr>
                <w:rFonts w:ascii="Times New Roman" w:hAnsi="Times New Roman"/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61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62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20.562,84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63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29.952,13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6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145,7</w:t>
            </w:r>
          </w:p>
        </w:tc>
      </w:tr>
    </w:tbl>
    <w:p w14:paraId="24AEB866" w14:textId="77777777" w:rsidR="00D04A85" w:rsidRDefault="00D04A85">
      <w:pPr>
        <w:spacing w:after="0"/>
      </w:pPr>
    </w:p>
    <w:p w14:paraId="73425E55" w14:textId="3194B001" w:rsidR="00830837" w:rsidRDefault="00452454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EU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pod </w:t>
      </w:r>
      <w:proofErr w:type="spellStart"/>
      <w:r>
        <w:t>nazivom</w:t>
      </w:r>
      <w:proofErr w:type="spellEnd"/>
      <w:r>
        <w:t xml:space="preserve"> „</w:t>
      </w:r>
      <w:proofErr w:type="spellStart"/>
      <w:r>
        <w:t>Pomoćnici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/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komunikacijski</w:t>
      </w:r>
      <w:proofErr w:type="spellEnd"/>
      <w:r>
        <w:t xml:space="preserve"> </w:t>
      </w:r>
      <w:proofErr w:type="spellStart"/>
      <w:r>
        <w:t>posrednici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potpora</w:t>
      </w:r>
      <w:proofErr w:type="spellEnd"/>
      <w:r>
        <w:t xml:space="preserve"> </w:t>
      </w:r>
      <w:proofErr w:type="spellStart"/>
      <w:r>
        <w:t>inkluzivnom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, </w:t>
      </w:r>
      <w:proofErr w:type="spellStart"/>
      <w:r>
        <w:t>faza</w:t>
      </w:r>
      <w:proofErr w:type="spellEnd"/>
      <w:r>
        <w:t xml:space="preserve"> VII“, koji se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Europskog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plus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„</w:t>
      </w:r>
      <w:proofErr w:type="spellStart"/>
      <w:r>
        <w:t>Učinkoviti</w:t>
      </w:r>
      <w:proofErr w:type="spellEnd"/>
      <w:r>
        <w:t xml:space="preserve"> </w:t>
      </w:r>
      <w:proofErr w:type="spellStart"/>
      <w:r>
        <w:t>ljudski</w:t>
      </w:r>
      <w:proofErr w:type="spellEnd"/>
      <w:r>
        <w:t xml:space="preserve"> </w:t>
      </w:r>
      <w:proofErr w:type="spellStart"/>
      <w:r>
        <w:t>potencijali</w:t>
      </w:r>
      <w:proofErr w:type="spellEnd"/>
      <w:r>
        <w:t xml:space="preserve"> 2021.–2027.“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Ivana Filipovića </w:t>
      </w:r>
      <w:proofErr w:type="spellStart"/>
      <w:r>
        <w:t>sudjeluje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partner 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/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komunikacijskog</w:t>
      </w:r>
      <w:proofErr w:type="spellEnd"/>
      <w:r>
        <w:t xml:space="preserve"> </w:t>
      </w:r>
      <w:proofErr w:type="spellStart"/>
      <w:r>
        <w:t>posrednika</w:t>
      </w:r>
      <w:proofErr w:type="spellEnd"/>
      <w:r>
        <w:t xml:space="preserve"> u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Grad Zagreb.</w:t>
      </w:r>
    </w:p>
    <w:p w14:paraId="24AEB869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6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6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6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6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6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6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71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72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Prihodi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nadležnog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proračuna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financiranje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rashoda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nabavu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nefinancijske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73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7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20.349,30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75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623,39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76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3,1</w:t>
            </w:r>
          </w:p>
        </w:tc>
      </w:tr>
    </w:tbl>
    <w:p w14:paraId="5D84EEB4" w14:textId="77777777" w:rsidR="00830837" w:rsidRDefault="00830837"/>
    <w:p w14:paraId="24AEB87A" w14:textId="538F3BBC" w:rsidR="00D04A85" w:rsidRDefault="00452454"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za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smanjena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garderobnih</w:t>
      </w:r>
      <w:proofErr w:type="spellEnd"/>
      <w:r>
        <w:t xml:space="preserve"> </w:t>
      </w:r>
      <w:proofErr w:type="spellStart"/>
      <w:r>
        <w:t>ormarića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financirane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</w:t>
      </w:r>
    </w:p>
    <w:p w14:paraId="24AEB87B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lastRenderedPageBreak/>
        <w:t>Bilješka</w:t>
      </w:r>
      <w:proofErr w:type="spellEnd"/>
      <w:r>
        <w:rPr>
          <w:rFonts w:ascii="Times New Roman" w:hAnsi="Times New Roman"/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8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7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7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7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7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8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8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8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83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84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Energija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85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86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40.962,91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87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22.639,85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8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55,3</w:t>
            </w:r>
          </w:p>
        </w:tc>
      </w:tr>
    </w:tbl>
    <w:p w14:paraId="24AEB88A" w14:textId="77777777" w:rsidR="00D04A85" w:rsidRDefault="00D04A85">
      <w:pPr>
        <w:spacing w:after="0"/>
      </w:pPr>
    </w:p>
    <w:p w14:paraId="24AEB88C" w14:textId="11F608B4" w:rsidR="00D04A85" w:rsidRDefault="00452454">
      <w:proofErr w:type="spellStart"/>
      <w:r>
        <w:t>Značajno</w:t>
      </w:r>
      <w:proofErr w:type="spellEnd"/>
      <w:r>
        <w:t xml:space="preserve"> </w:t>
      </w:r>
      <w:proofErr w:type="spellStart"/>
      <w:r>
        <w:t>smanjeni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za </w:t>
      </w:r>
      <w:proofErr w:type="spellStart"/>
      <w:r>
        <w:t>energente</w:t>
      </w:r>
      <w:proofErr w:type="spellEnd"/>
      <w:r>
        <w:t xml:space="preserve"> je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netočnog</w:t>
      </w:r>
      <w:proofErr w:type="spellEnd"/>
      <w:r>
        <w:t xml:space="preserve"> </w:t>
      </w:r>
      <w:proofErr w:type="spellStart"/>
      <w:r>
        <w:t>daljinskog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cijelog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za 12. </w:t>
      </w:r>
      <w:proofErr w:type="spellStart"/>
      <w:r>
        <w:t>mjesec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za 11. </w:t>
      </w:r>
      <w:proofErr w:type="spellStart"/>
      <w:r>
        <w:t>mjesec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>.</w:t>
      </w:r>
    </w:p>
    <w:p w14:paraId="24AEB88D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8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8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9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9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9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93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95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96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Sitni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inventar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97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9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3.650,65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99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9.130,59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9A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250,1</w:t>
            </w:r>
          </w:p>
        </w:tc>
      </w:tr>
    </w:tbl>
    <w:p w14:paraId="24AEB89C" w14:textId="77777777" w:rsidR="00D04A85" w:rsidRDefault="00D04A85">
      <w:pPr>
        <w:spacing w:after="0"/>
      </w:pPr>
    </w:p>
    <w:p w14:paraId="24AEB89D" w14:textId="77777777" w:rsidR="00D04A85" w:rsidRDefault="00452454">
      <w:proofErr w:type="spellStart"/>
      <w:r>
        <w:t>Trošak</w:t>
      </w:r>
      <w:proofErr w:type="spellEnd"/>
      <w:r>
        <w:t xml:space="preserve"> za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  <w:r>
        <w:t xml:space="preserve"> je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povećan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nabavljali</w:t>
      </w:r>
      <w:proofErr w:type="spellEnd"/>
      <w:r>
        <w:t xml:space="preserve"> novo </w:t>
      </w:r>
      <w:proofErr w:type="spellStart"/>
      <w:r>
        <w:t>posuđe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pribor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panoe</w:t>
      </w:r>
      <w:proofErr w:type="spellEnd"/>
      <w:r>
        <w:t xml:space="preserve"> za </w:t>
      </w:r>
      <w:proofErr w:type="spellStart"/>
      <w:r>
        <w:t>učionice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hodnike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>.</w:t>
      </w:r>
    </w:p>
    <w:p w14:paraId="4A7C415F" w14:textId="77777777" w:rsidR="004A28A1" w:rsidRDefault="004A28A1" w:rsidP="00830837">
      <w:pPr>
        <w:keepNext/>
        <w:spacing w:line="240" w:lineRule="auto"/>
        <w:rPr>
          <w:sz w:val="28"/>
        </w:rPr>
      </w:pPr>
    </w:p>
    <w:p w14:paraId="24AEB89F" w14:textId="1EDAC9CB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A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A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A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A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A3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A4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A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A7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A8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Usluge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tekućeg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investicijskog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A9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AA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26.422,90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AB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38.938,08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AC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147,4</w:t>
            </w:r>
          </w:p>
        </w:tc>
      </w:tr>
    </w:tbl>
    <w:p w14:paraId="24AEB8AE" w14:textId="77777777" w:rsidR="00D04A85" w:rsidRDefault="00D04A85">
      <w:pPr>
        <w:spacing w:after="0"/>
      </w:pPr>
    </w:p>
    <w:p w14:paraId="6FFDDB4F" w14:textId="68AF083D" w:rsidR="00830837" w:rsidRDefault="00452454">
      <w:proofErr w:type="spellStart"/>
      <w:r>
        <w:t>Trošak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je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povećan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popravka</w:t>
      </w:r>
      <w:proofErr w:type="spellEnd"/>
      <w:r>
        <w:t xml:space="preserve"> </w:t>
      </w:r>
      <w:proofErr w:type="spellStart"/>
      <w:r>
        <w:t>krova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sportskoj</w:t>
      </w:r>
      <w:proofErr w:type="spellEnd"/>
      <w:r>
        <w:t xml:space="preserve"> </w:t>
      </w:r>
      <w:proofErr w:type="spellStart"/>
      <w:r>
        <w:t>dvorani</w:t>
      </w:r>
      <w:proofErr w:type="spellEnd"/>
      <w:r>
        <w:t xml:space="preserve"> i </w:t>
      </w:r>
      <w:proofErr w:type="spellStart"/>
      <w:r>
        <w:t>postavljanja</w:t>
      </w:r>
      <w:proofErr w:type="spellEnd"/>
      <w:r>
        <w:t xml:space="preserve"> </w:t>
      </w:r>
      <w:proofErr w:type="spellStart"/>
      <w:r>
        <w:t>portafona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financirao</w:t>
      </w:r>
      <w:proofErr w:type="spellEnd"/>
      <w:r>
        <w:t xml:space="preserve"> Grad Zagreb.</w:t>
      </w:r>
    </w:p>
    <w:p w14:paraId="24AEB8B1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B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B3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B4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B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B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B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B9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BA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Usluge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promidžbe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informiranja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BB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BC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254,88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BD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1.171,38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BE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459,6</w:t>
            </w:r>
          </w:p>
        </w:tc>
      </w:tr>
    </w:tbl>
    <w:p w14:paraId="24AEB8C0" w14:textId="77777777" w:rsidR="00D04A85" w:rsidRDefault="00D04A85">
      <w:pPr>
        <w:spacing w:after="0"/>
      </w:pPr>
    </w:p>
    <w:p w14:paraId="24AEB8C1" w14:textId="77777777" w:rsidR="00D04A85" w:rsidRDefault="00452454">
      <w:proofErr w:type="spellStart"/>
      <w:r>
        <w:t>Usluge</w:t>
      </w:r>
      <w:proofErr w:type="spellEnd"/>
      <w:r>
        <w:t xml:space="preserve"> </w:t>
      </w:r>
      <w:proofErr w:type="spellStart"/>
      <w:r>
        <w:t>promidžbe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informiranja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povećane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za 2024.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koji </w:t>
      </w:r>
      <w:proofErr w:type="spellStart"/>
      <w:r>
        <w:t>smo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24AEB8C2" w14:textId="77777777" w:rsidR="00D04A85" w:rsidRDefault="00D04A85"/>
    <w:p w14:paraId="24AEB8C3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lastRenderedPageBreak/>
        <w:t>Bilješka</w:t>
      </w:r>
      <w:proofErr w:type="spellEnd"/>
      <w:r>
        <w:rPr>
          <w:rFonts w:ascii="Times New Roman" w:hAnsi="Times New Roman"/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C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C4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C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C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C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C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C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CB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CC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Ostale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CD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CE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315,50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CF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17.094,50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D0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5418,2</w:t>
            </w:r>
          </w:p>
        </w:tc>
      </w:tr>
    </w:tbl>
    <w:p w14:paraId="24AEB8D2" w14:textId="77777777" w:rsidR="00D04A85" w:rsidRDefault="00D04A85">
      <w:pPr>
        <w:spacing w:after="0"/>
      </w:pPr>
    </w:p>
    <w:p w14:paraId="24AEB8D3" w14:textId="77777777" w:rsidR="00D04A85" w:rsidRDefault="00452454">
      <w:r>
        <w:t xml:space="preserve">Na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utjecalo</w:t>
      </w:r>
      <w:proofErr w:type="spellEnd"/>
      <w:r>
        <w:t xml:space="preserve"> je </w:t>
      </w:r>
      <w:proofErr w:type="spellStart"/>
      <w:r>
        <w:t>angažiranje</w:t>
      </w:r>
      <w:proofErr w:type="spellEnd"/>
      <w:r>
        <w:t xml:space="preserve"> </w:t>
      </w:r>
      <w:proofErr w:type="spellStart"/>
      <w:r>
        <w:t>zaštitarske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u </w:t>
      </w:r>
      <w:proofErr w:type="spellStart"/>
      <w:r>
        <w:t>školama</w:t>
      </w:r>
      <w:proofErr w:type="spellEnd"/>
      <w:r>
        <w:t xml:space="preserve"> u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polovini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financirao</w:t>
      </w:r>
      <w:proofErr w:type="spellEnd"/>
      <w:r>
        <w:t xml:space="preserve"> Grad Zagreb.</w:t>
      </w:r>
    </w:p>
    <w:p w14:paraId="24AEB8D4" w14:textId="77777777" w:rsidR="00D04A85" w:rsidRDefault="00D04A85"/>
    <w:p w14:paraId="24AEB8D5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D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D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D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D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D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D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DD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DE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Premije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osiguranja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DF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E0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E1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2.786,30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E2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4AEB8E4" w14:textId="77777777" w:rsidR="00D04A85" w:rsidRDefault="00D04A85">
      <w:pPr>
        <w:spacing w:after="0"/>
      </w:pPr>
    </w:p>
    <w:p w14:paraId="24AEB8E5" w14:textId="77777777" w:rsidR="00D04A85" w:rsidRDefault="00452454">
      <w:proofErr w:type="spellStart"/>
      <w:r>
        <w:t>Kako</w:t>
      </w:r>
      <w:proofErr w:type="spellEnd"/>
      <w:r>
        <w:t xml:space="preserve"> Grad Zagreb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proveo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za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školama</w:t>
      </w:r>
      <w:proofErr w:type="spellEnd"/>
      <w:r>
        <w:t xml:space="preserve">, </w:t>
      </w:r>
      <w:proofErr w:type="spellStart"/>
      <w:r>
        <w:t>škola</w:t>
      </w:r>
      <w:proofErr w:type="spellEnd"/>
      <w:r>
        <w:t xml:space="preserve"> je </w:t>
      </w:r>
      <w:proofErr w:type="spellStart"/>
      <w:r>
        <w:t>morala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osiguravajuće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platiti</w:t>
      </w:r>
      <w:proofErr w:type="spellEnd"/>
      <w:r>
        <w:t xml:space="preserve"> </w:t>
      </w:r>
      <w:proofErr w:type="spellStart"/>
      <w:r>
        <w:t>prvu</w:t>
      </w:r>
      <w:proofErr w:type="spellEnd"/>
      <w:r>
        <w:t xml:space="preserve"> ratu </w:t>
      </w:r>
      <w:proofErr w:type="spellStart"/>
      <w:r>
        <w:t>premije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refundirano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proračuna</w:t>
      </w:r>
      <w:proofErr w:type="spellEnd"/>
    </w:p>
    <w:p w14:paraId="24AEB8E6" w14:textId="77777777" w:rsidR="00D04A85" w:rsidRDefault="00D04A85"/>
    <w:p w14:paraId="24AEB8E7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8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E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E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E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E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E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E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8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EF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8F0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Troškovi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sudskih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postupaka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F1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F2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798,83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8F3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8F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14:paraId="24AEB8F6" w14:textId="77777777" w:rsidR="00D04A85" w:rsidRDefault="00D04A85">
      <w:pPr>
        <w:spacing w:after="0"/>
      </w:pPr>
    </w:p>
    <w:p w14:paraId="24AEB8F7" w14:textId="77777777" w:rsidR="00D04A85" w:rsidRDefault="00452454">
      <w:proofErr w:type="spellStart"/>
      <w:r>
        <w:t>Škola</w:t>
      </w:r>
      <w:proofErr w:type="spellEnd"/>
      <w:r>
        <w:t xml:space="preserve"> je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po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tužbama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za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, pa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nemamo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>.</w:t>
      </w:r>
    </w:p>
    <w:p w14:paraId="24AEB8F8" w14:textId="77777777" w:rsidR="00D04A85" w:rsidRDefault="00D04A85"/>
    <w:p w14:paraId="24AEB8F9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F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F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F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F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F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8F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01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02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Zatezne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kamate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03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0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427,11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05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06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6,1</w:t>
            </w:r>
          </w:p>
        </w:tc>
      </w:tr>
    </w:tbl>
    <w:p w14:paraId="24AEB908" w14:textId="77777777" w:rsidR="00D04A85" w:rsidRDefault="00D04A85">
      <w:pPr>
        <w:spacing w:after="0"/>
      </w:pPr>
    </w:p>
    <w:p w14:paraId="24AEB909" w14:textId="77777777" w:rsidR="00D04A85" w:rsidRDefault="00452454">
      <w:proofErr w:type="spellStart"/>
      <w:r>
        <w:t>Škola</w:t>
      </w:r>
      <w:proofErr w:type="spellEnd"/>
      <w:r>
        <w:t xml:space="preserve"> je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po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tužbama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za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. u 2024.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, pa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smanjene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zateznih</w:t>
      </w:r>
      <w:proofErr w:type="spellEnd"/>
      <w:r>
        <w:t xml:space="preserve"> </w:t>
      </w:r>
      <w:proofErr w:type="spellStart"/>
      <w:r>
        <w:t>kamata</w:t>
      </w:r>
      <w:proofErr w:type="spellEnd"/>
      <w:r>
        <w:t>.</w:t>
      </w:r>
    </w:p>
    <w:p w14:paraId="24AEB90A" w14:textId="77777777" w:rsidR="00D04A85" w:rsidRDefault="00D04A85"/>
    <w:p w14:paraId="24AEB90B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lastRenderedPageBreak/>
        <w:t>Bilješka</w:t>
      </w:r>
      <w:proofErr w:type="spellEnd"/>
      <w:r>
        <w:rPr>
          <w:rFonts w:ascii="Times New Roman" w:hAnsi="Times New Roman"/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1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0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0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0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0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1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1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13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14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Naknade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građanima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kućanstvima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8"/>
              </w:rPr>
              <w:t>novcu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15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16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17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1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14:paraId="24AEB91A" w14:textId="77777777" w:rsidR="00D04A85" w:rsidRDefault="00D04A85">
      <w:pPr>
        <w:spacing w:after="0"/>
      </w:pPr>
    </w:p>
    <w:p w14:paraId="24AEB91B" w14:textId="77777777" w:rsidR="00D04A85" w:rsidRDefault="00452454"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nagradu</w:t>
      </w:r>
      <w:proofErr w:type="spellEnd"/>
      <w:r>
        <w:t xml:space="preserve"> "Professor Balthazar" za </w:t>
      </w:r>
      <w:proofErr w:type="spellStart"/>
      <w:r>
        <w:t>osvojeno</w:t>
      </w:r>
      <w:proofErr w:type="spellEnd"/>
      <w:r>
        <w:t xml:space="preserve"> 1.,2. </w:t>
      </w:r>
      <w:proofErr w:type="spellStart"/>
      <w:r>
        <w:t>ili</w:t>
      </w:r>
      <w:proofErr w:type="spellEnd"/>
      <w:r>
        <w:t xml:space="preserve"> 3.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natjecanjima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dodijeljuje</w:t>
      </w:r>
      <w:proofErr w:type="spellEnd"/>
      <w:r>
        <w:t xml:space="preserve"> Grad Zagreb. Ove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nitko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osvojio</w:t>
      </w:r>
      <w:proofErr w:type="spellEnd"/>
      <w:r>
        <w:t xml:space="preserve"> </w:t>
      </w:r>
      <w:proofErr w:type="spellStart"/>
      <w:r>
        <w:t>nagradu</w:t>
      </w:r>
      <w:proofErr w:type="spellEnd"/>
      <w:r>
        <w:t>.</w:t>
      </w:r>
    </w:p>
    <w:p w14:paraId="24AEB91C" w14:textId="77777777" w:rsidR="00D04A85" w:rsidRDefault="00D04A85"/>
    <w:p w14:paraId="24AEB91D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1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1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2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2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2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23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25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26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Rashodi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nabavu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proizvedene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dugotrajne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imovine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27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2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39.421,65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29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15.036,43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2A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38,1</w:t>
            </w:r>
          </w:p>
        </w:tc>
      </w:tr>
    </w:tbl>
    <w:p w14:paraId="24AEB92C" w14:textId="77777777" w:rsidR="00D04A85" w:rsidRDefault="00D04A85">
      <w:pPr>
        <w:spacing w:after="0"/>
      </w:pPr>
    </w:p>
    <w:p w14:paraId="24AEB92D" w14:textId="77777777" w:rsidR="00D04A85" w:rsidRDefault="00452454">
      <w:r>
        <w:t xml:space="preserve">Za </w:t>
      </w:r>
      <w:proofErr w:type="spellStart"/>
      <w:r>
        <w:t>razliku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proofErr w:type="gramStart"/>
      <w:r>
        <w:t>kad</w:t>
      </w:r>
      <w:proofErr w:type="spellEnd"/>
      <w:r>
        <w:t xml:space="preserve">  </w:t>
      </w:r>
      <w:proofErr w:type="spellStart"/>
      <w:r>
        <w:t>smo</w:t>
      </w:r>
      <w:proofErr w:type="spellEnd"/>
      <w:proofErr w:type="gram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štednjaka</w:t>
      </w:r>
      <w:proofErr w:type="spellEnd"/>
      <w:r>
        <w:t xml:space="preserve">, </w:t>
      </w:r>
      <w:proofErr w:type="spellStart"/>
      <w:r>
        <w:t>hladnjaka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zamrzivača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garderobnih</w:t>
      </w:r>
      <w:proofErr w:type="spellEnd"/>
      <w:r>
        <w:t xml:space="preserve"> </w:t>
      </w:r>
      <w:proofErr w:type="spellStart"/>
      <w:r>
        <w:t>ormarića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financirao</w:t>
      </w:r>
      <w:proofErr w:type="spellEnd"/>
      <w:r>
        <w:t xml:space="preserve"> Grad Zagreb,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nabavljali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namještaj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24AEB92E" w14:textId="77777777" w:rsidR="00D04A85" w:rsidRDefault="00D04A85"/>
    <w:p w14:paraId="24AEB92F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3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3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3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33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34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3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37" w14:textId="77777777" w:rsidR="00D04A85" w:rsidRDefault="00D04A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38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MANJAK PRIHODA I PRIMITAKA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39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3A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3B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110.440,16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3C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4AEB93E" w14:textId="77777777" w:rsidR="00D04A85" w:rsidRDefault="00D04A85">
      <w:pPr>
        <w:spacing w:after="0"/>
      </w:pPr>
    </w:p>
    <w:p w14:paraId="24AEB93F" w14:textId="77777777" w:rsidR="00D04A85" w:rsidRDefault="00452454"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od 110.440,16 </w:t>
      </w:r>
      <w:proofErr w:type="spellStart"/>
      <w:r>
        <w:t>eura</w:t>
      </w:r>
      <w:proofErr w:type="spellEnd"/>
      <w:r>
        <w:t xml:space="preserve"> je </w:t>
      </w:r>
      <w:proofErr w:type="spellStart"/>
      <w:r>
        <w:t>metodološki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knjiženju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. </w:t>
      </w:r>
      <w:proofErr w:type="spellStart"/>
      <w:r>
        <w:t>Propisano</w:t>
      </w:r>
      <w:proofErr w:type="spellEnd"/>
      <w:r>
        <w:t xml:space="preserve"> je da se </w:t>
      </w:r>
      <w:proofErr w:type="spellStart"/>
      <w:r>
        <w:t>podskupina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193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ukida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da se s </w:t>
      </w:r>
      <w:proofErr w:type="spellStart"/>
      <w:r>
        <w:t>danom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3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. Time je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knjižen</w:t>
      </w:r>
      <w:proofErr w:type="spellEnd"/>
      <w:r>
        <w:t xml:space="preserve"> </w:t>
      </w:r>
      <w:proofErr w:type="spellStart"/>
      <w:r>
        <w:t>rashod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za 13 </w:t>
      </w:r>
      <w:proofErr w:type="spellStart"/>
      <w:r>
        <w:t>mjeseci</w:t>
      </w:r>
      <w:proofErr w:type="spellEnd"/>
      <w:r>
        <w:t xml:space="preserve"> (od 12.2024. do 12.2025.), a </w:t>
      </w:r>
      <w:proofErr w:type="spellStart"/>
      <w:r>
        <w:t>prihod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za 12. </w:t>
      </w:r>
      <w:proofErr w:type="spellStart"/>
      <w:r>
        <w:t>mjeseci</w:t>
      </w:r>
      <w:proofErr w:type="spellEnd"/>
      <w:r>
        <w:t xml:space="preserve"> (12.2024. – 11.2025.). </w:t>
      </w:r>
      <w:proofErr w:type="spellStart"/>
      <w:r>
        <w:t>Radi</w:t>
      </w:r>
      <w:proofErr w:type="spellEnd"/>
      <w:r>
        <w:t xml:space="preserve"> se o </w:t>
      </w:r>
      <w:proofErr w:type="spellStart"/>
      <w:r>
        <w:t>iznosu</w:t>
      </w:r>
      <w:proofErr w:type="spellEnd"/>
      <w:r>
        <w:t xml:space="preserve"> od 128.624,96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promijenilo</w:t>
      </w:r>
      <w:proofErr w:type="spellEnd"/>
      <w:r>
        <w:t xml:space="preserve"> </w:t>
      </w:r>
      <w:proofErr w:type="spellStart"/>
      <w:r>
        <w:t>prikaz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OŠ Ivana Filipovića.</w:t>
      </w:r>
    </w:p>
    <w:p w14:paraId="24AEB940" w14:textId="77777777" w:rsidR="00D04A85" w:rsidRDefault="00D04A85"/>
    <w:p w14:paraId="24AEB941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b/>
          <w:sz w:val="28"/>
        </w:rPr>
        <w:lastRenderedPageBreak/>
        <w:t>Bilanca</w:t>
      </w:r>
      <w:proofErr w:type="spellEnd"/>
    </w:p>
    <w:p w14:paraId="24AEB942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43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44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4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4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4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31.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4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4A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4B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Novac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8"/>
              </w:rPr>
              <w:t>banci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blagajni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4C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4D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63.814,80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4E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70.983,85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4F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111,2</w:t>
            </w:r>
          </w:p>
        </w:tc>
      </w:tr>
    </w:tbl>
    <w:p w14:paraId="24AEB951" w14:textId="77777777" w:rsidR="00D04A85" w:rsidRDefault="00D04A85">
      <w:pPr>
        <w:spacing w:after="0"/>
      </w:pPr>
    </w:p>
    <w:p w14:paraId="24AEB952" w14:textId="77777777" w:rsidR="00D04A85" w:rsidRDefault="00452454">
      <w:r>
        <w:t xml:space="preserve">1112            </w:t>
      </w:r>
      <w:proofErr w:type="spellStart"/>
      <w:r>
        <w:t>Novac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tuzemnih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banaka</w:t>
      </w:r>
      <w:proofErr w:type="spellEnd"/>
      <w:r>
        <w:t>    70.978,51</w:t>
      </w:r>
      <w:r>
        <w:br/>
        <w:t xml:space="preserve">1131           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blagajna</w:t>
      </w:r>
      <w:proofErr w:type="spellEnd"/>
      <w:r>
        <w:t>                                                                         5,34</w:t>
      </w:r>
    </w:p>
    <w:p w14:paraId="24AEB953" w14:textId="77777777" w:rsidR="00D04A85" w:rsidRDefault="00D04A85"/>
    <w:p w14:paraId="24AEB954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5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5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5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5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5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31.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5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5C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5D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Ostala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potraživanja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5E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5F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267,18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60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1.317,15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61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493,0</w:t>
            </w:r>
          </w:p>
        </w:tc>
      </w:tr>
    </w:tbl>
    <w:p w14:paraId="24AEB963" w14:textId="77777777" w:rsidR="00D04A85" w:rsidRDefault="00D04A85">
      <w:pPr>
        <w:spacing w:after="0"/>
      </w:pPr>
    </w:p>
    <w:p w14:paraId="24AEB964" w14:textId="77777777" w:rsidR="00D04A85" w:rsidRDefault="00452454">
      <w:proofErr w:type="spellStart"/>
      <w:r>
        <w:t>Ostala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1.317,15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bolovanja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HZZO– 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po </w:t>
      </w:r>
      <w:proofErr w:type="spellStart"/>
      <w:r>
        <w:t>korektivnim</w:t>
      </w:r>
      <w:proofErr w:type="spellEnd"/>
      <w:r>
        <w:t xml:space="preserve"> </w:t>
      </w:r>
      <w:proofErr w:type="spellStart"/>
      <w:r>
        <w:t>obračunima</w:t>
      </w:r>
      <w:proofErr w:type="spellEnd"/>
      <w:r>
        <w:t>.</w:t>
      </w:r>
    </w:p>
    <w:p w14:paraId="24AEB965" w14:textId="77777777" w:rsidR="00D04A85" w:rsidRDefault="00D04A85"/>
    <w:p w14:paraId="24AEB966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6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6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6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6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6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31.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6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6E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6F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Potraživanja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pomoći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proračunskim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korisnicima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proračuna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koji </w:t>
            </w:r>
            <w:proofErr w:type="spellStart"/>
            <w:r>
              <w:rPr>
                <w:rFonts w:ascii="Times New Roman" w:hAnsi="Times New Roman"/>
                <w:sz w:val="18"/>
              </w:rPr>
              <w:t>im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nije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nadležan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70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71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72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108.039,56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73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4AEB975" w14:textId="77777777" w:rsidR="00D04A85" w:rsidRDefault="00D04A85">
      <w:pPr>
        <w:spacing w:after="0"/>
      </w:pPr>
    </w:p>
    <w:p w14:paraId="24AEB977" w14:textId="53CE2107" w:rsidR="00D04A85" w:rsidRDefault="00452454">
      <w:proofErr w:type="spellStart"/>
      <w:r>
        <w:t>Potraživanja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koji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za place za 12. </w:t>
      </w:r>
      <w:proofErr w:type="spellStart"/>
      <w:r>
        <w:t>mjesec</w:t>
      </w:r>
      <w:proofErr w:type="spellEnd"/>
      <w:r>
        <w:t xml:space="preserve"> 2025.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obračunate</w:t>
      </w:r>
      <w:proofErr w:type="spellEnd"/>
      <w:r>
        <w:t xml:space="preserve">, a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isplaćene</w:t>
      </w:r>
      <w:proofErr w:type="spellEnd"/>
      <w:r>
        <w:t>.</w:t>
      </w:r>
    </w:p>
    <w:p w14:paraId="24AEB978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7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7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7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7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7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31.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7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80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81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Potraživanja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upravne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administrativne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pristojbe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</w:rPr>
              <w:t>pristojbe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 </w:t>
            </w:r>
            <w:proofErr w:type="spellStart"/>
            <w:r>
              <w:rPr>
                <w:rFonts w:ascii="Times New Roman" w:hAnsi="Times New Roman"/>
                <w:sz w:val="18"/>
              </w:rPr>
              <w:t>posebnim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propisima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82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83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15.125,57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8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19.674,89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85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130,1</w:t>
            </w:r>
          </w:p>
        </w:tc>
      </w:tr>
    </w:tbl>
    <w:p w14:paraId="24AEB987" w14:textId="77777777" w:rsidR="00D04A85" w:rsidRDefault="00D04A85">
      <w:pPr>
        <w:spacing w:after="0"/>
      </w:pPr>
    </w:p>
    <w:p w14:paraId="24AEB989" w14:textId="155FA7F7" w:rsidR="00D04A85" w:rsidRDefault="00452454">
      <w:proofErr w:type="spellStart"/>
      <w:r>
        <w:t>Potraživanja</w:t>
      </w:r>
      <w:proofErr w:type="spellEnd"/>
      <w:r>
        <w:t xml:space="preserve"> za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r>
        <w:t>pristojbe</w:t>
      </w:r>
      <w:proofErr w:type="spellEnd"/>
      <w:r>
        <w:t xml:space="preserve">, </w:t>
      </w:r>
      <w:proofErr w:type="spellStart"/>
      <w:r>
        <w:t>pristojbe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19.674,89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neplaćene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za </w:t>
      </w:r>
      <w:proofErr w:type="spellStart"/>
      <w:r>
        <w:t>prehranu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. Od toga se 3.636,02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nedospjela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izdane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a 16.038,87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dospjela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>.</w:t>
      </w:r>
    </w:p>
    <w:p w14:paraId="24AEB98A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lastRenderedPageBreak/>
        <w:t>Bilješka</w:t>
      </w:r>
      <w:proofErr w:type="spellEnd"/>
      <w:r>
        <w:rPr>
          <w:rFonts w:ascii="Times New Roman" w:hAnsi="Times New Roman"/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8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8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8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8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8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31.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9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92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93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Potraživanja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prihode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od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prodaje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proizvoda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robe </w:t>
            </w:r>
            <w:proofErr w:type="spellStart"/>
            <w:r>
              <w:rPr>
                <w:rFonts w:ascii="Times New Roman" w:hAnsi="Times New Roman"/>
                <w:sz w:val="18"/>
              </w:rPr>
              <w:t>te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pruženih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usluga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18"/>
              </w:rPr>
              <w:t>povrat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 </w:t>
            </w:r>
            <w:proofErr w:type="spellStart"/>
            <w:r>
              <w:rPr>
                <w:rFonts w:ascii="Times New Roman" w:hAnsi="Times New Roman"/>
                <w:sz w:val="18"/>
              </w:rPr>
              <w:t>protestiranim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jamstvima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94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95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6.528,99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96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9.770,79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97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149,7</w:t>
            </w:r>
          </w:p>
        </w:tc>
      </w:tr>
    </w:tbl>
    <w:p w14:paraId="24AEB999" w14:textId="77777777" w:rsidR="00D04A85" w:rsidRDefault="00D04A85">
      <w:pPr>
        <w:spacing w:after="0"/>
      </w:pPr>
    </w:p>
    <w:p w14:paraId="24AEB99A" w14:textId="77777777" w:rsidR="00D04A85" w:rsidRDefault="00452454"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robe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povrat</w:t>
      </w:r>
      <w:proofErr w:type="spellEnd"/>
      <w:r>
        <w:t xml:space="preserve"> po </w:t>
      </w:r>
      <w:proofErr w:type="spellStart"/>
      <w:r>
        <w:t>protestiranim</w:t>
      </w:r>
      <w:proofErr w:type="spellEnd"/>
      <w:r>
        <w:t xml:space="preserve"> </w:t>
      </w:r>
      <w:proofErr w:type="spellStart"/>
      <w:r>
        <w:t>jamstvima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ud</w:t>
      </w:r>
      <w:proofErr w:type="spellEnd"/>
      <w:r>
        <w:t xml:space="preserve"> 9.770,79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neplaćene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za </w:t>
      </w:r>
      <w:proofErr w:type="spellStart"/>
      <w:r>
        <w:t>najam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a od toga se 4.969,96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nedospjela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izdane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a 4.800,83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dospjela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>.</w:t>
      </w:r>
    </w:p>
    <w:p w14:paraId="24AEB99B" w14:textId="77777777" w:rsidR="00D04A85" w:rsidRDefault="00D04A85"/>
    <w:p w14:paraId="24AEB99C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9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9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9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A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A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31.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A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A4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A5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Ispravak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vrijednosti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potraživanja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A6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A7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3.199,29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A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4.625,56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A9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144,6</w:t>
            </w:r>
          </w:p>
        </w:tc>
      </w:tr>
    </w:tbl>
    <w:p w14:paraId="24AEB9AB" w14:textId="77777777" w:rsidR="00D04A85" w:rsidRDefault="00D04A85">
      <w:pPr>
        <w:spacing w:after="0"/>
      </w:pPr>
    </w:p>
    <w:p w14:paraId="24AEB9AC" w14:textId="77777777" w:rsidR="00D04A85" w:rsidRDefault="00452454">
      <w:r>
        <w:t xml:space="preserve">31.12.2025. </w:t>
      </w:r>
      <w:proofErr w:type="spellStart"/>
      <w:r>
        <w:t>proveden</w:t>
      </w:r>
      <w:proofErr w:type="spellEnd"/>
      <w:r>
        <w:t xml:space="preserve"> je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nenaplaćenih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.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starija</w:t>
      </w:r>
      <w:proofErr w:type="spellEnd"/>
      <w:r>
        <w:t xml:space="preserve"> od 2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ispravljena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po </w:t>
      </w:r>
      <w:proofErr w:type="spellStart"/>
      <w:r>
        <w:t>stopi</w:t>
      </w:r>
      <w:proofErr w:type="spellEnd"/>
      <w:r>
        <w:t xml:space="preserve"> od 100%.</w:t>
      </w:r>
    </w:p>
    <w:p w14:paraId="55BDFC09" w14:textId="77777777" w:rsidR="00D33F18" w:rsidRDefault="00D33F18"/>
    <w:p w14:paraId="24AEB9AD" w14:textId="717CA474" w:rsidR="00D04A85" w:rsidRDefault="00452454">
      <w:r>
        <w:t xml:space="preserve">Red. </w:t>
      </w:r>
      <w:proofErr w:type="spellStart"/>
      <w:r>
        <w:t>broj</w:t>
      </w:r>
      <w:proofErr w:type="spellEnd"/>
      <w:r>
        <w:t xml:space="preserve">               </w:t>
      </w:r>
      <w:proofErr w:type="spellStart"/>
      <w:r>
        <w:t>Dužnik</w:t>
      </w:r>
      <w:proofErr w:type="spellEnd"/>
      <w:r>
        <w:t xml:space="preserve">   </w:t>
      </w:r>
      <w:r w:rsidR="00D33F18">
        <w:t xml:space="preserve">                         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100%</w:t>
      </w:r>
    </w:p>
    <w:p w14:paraId="24AEB9AE" w14:textId="0C1B741B" w:rsidR="00D04A85" w:rsidRDefault="00452454">
      <w:r>
        <w:t xml:space="preserve">1.             </w:t>
      </w:r>
      <w:proofErr w:type="spellStart"/>
      <w:r>
        <w:t>DemoSTEM</w:t>
      </w:r>
      <w:proofErr w:type="spellEnd"/>
      <w:r>
        <w:t xml:space="preserve"> OBRT ZA PODUKU          </w:t>
      </w:r>
      <w:r w:rsidR="00D33F18">
        <w:t xml:space="preserve">           </w:t>
      </w:r>
      <w:r>
        <w:t>1.426,27</w:t>
      </w:r>
    </w:p>
    <w:p w14:paraId="24AEB9AF" w14:textId="47C87D53" w:rsidR="00D04A85" w:rsidRDefault="00452454">
      <w:r>
        <w:t>                UKUPNO                                            </w:t>
      </w:r>
      <w:r w:rsidR="00D33F18">
        <w:t xml:space="preserve">                </w:t>
      </w:r>
      <w:r>
        <w:t>1.426,27</w:t>
      </w:r>
    </w:p>
    <w:p w14:paraId="24AEB9B0" w14:textId="77777777" w:rsidR="00D04A85" w:rsidRDefault="00D04A85"/>
    <w:p w14:paraId="24AEB9B1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B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B3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B4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B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B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31.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B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B9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BA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Manjak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prihoda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poslovanja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18"/>
              </w:rPr>
              <w:t>ispravci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prethodnih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razdoblja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BB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BC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BD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441,44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BE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4AEB9C0" w14:textId="77777777" w:rsidR="00D04A85" w:rsidRDefault="00D04A85">
      <w:pPr>
        <w:spacing w:after="0"/>
      </w:pPr>
    </w:p>
    <w:p w14:paraId="24AEB9C1" w14:textId="77777777" w:rsidR="00D04A85" w:rsidRDefault="00452454">
      <w:proofErr w:type="spellStart"/>
      <w:r>
        <w:t>Početkom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za 2024. </w:t>
      </w:r>
      <w:proofErr w:type="spellStart"/>
      <w:r>
        <w:t>godinu</w:t>
      </w:r>
      <w:proofErr w:type="spellEnd"/>
      <w:r>
        <w:t xml:space="preserve">, </w:t>
      </w:r>
      <w:proofErr w:type="spellStart"/>
      <w:r>
        <w:t>uočeno</w:t>
      </w:r>
      <w:proofErr w:type="spellEnd"/>
      <w:r>
        <w:t xml:space="preserve"> je da je Grad Zagreb </w:t>
      </w:r>
      <w:proofErr w:type="spellStart"/>
      <w:r>
        <w:t>dva</w:t>
      </w:r>
      <w:proofErr w:type="spellEnd"/>
      <w:r>
        <w:t xml:space="preserve"> puta </w:t>
      </w:r>
      <w:proofErr w:type="spellStart"/>
      <w:r>
        <w:t>obračunao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za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Pomoćnike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 EU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vraćen</w:t>
      </w:r>
      <w:proofErr w:type="spellEnd"/>
      <w:r>
        <w:t xml:space="preserve"> u </w:t>
      </w:r>
      <w:proofErr w:type="spellStart"/>
      <w:r>
        <w:t>Gradski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a za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terećen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24AEB9C2" w14:textId="77777777" w:rsidR="00D04A85" w:rsidRDefault="00D04A85"/>
    <w:p w14:paraId="24AEB9C3" w14:textId="77777777" w:rsidR="00D04A85" w:rsidRDefault="00452454">
      <w:pPr>
        <w:keepNext/>
        <w:spacing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lastRenderedPageBreak/>
        <w:t>Izvještaj</w:t>
      </w:r>
      <w:proofErr w:type="spellEnd"/>
      <w:r>
        <w:rPr>
          <w:rFonts w:ascii="Times New Roman" w:hAnsi="Times New Roman"/>
          <w:b/>
          <w:sz w:val="28"/>
        </w:rPr>
        <w:t xml:space="preserve"> o </w:t>
      </w:r>
      <w:proofErr w:type="spellStart"/>
      <w:r>
        <w:rPr>
          <w:rFonts w:ascii="Times New Roman" w:hAnsi="Times New Roman"/>
          <w:b/>
          <w:sz w:val="28"/>
        </w:rPr>
        <w:t>rashodima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prema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funkcijskoj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klasifikaciji</w:t>
      </w:r>
      <w:proofErr w:type="spellEnd"/>
    </w:p>
    <w:p w14:paraId="586D45A1" w14:textId="77777777" w:rsidR="00CD4099" w:rsidRDefault="00CD4099">
      <w:pPr>
        <w:keepNext/>
        <w:spacing w:line="240" w:lineRule="auto"/>
        <w:jc w:val="center"/>
      </w:pPr>
    </w:p>
    <w:p w14:paraId="24AEB9C4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C5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C6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C7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C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prethodne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C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Ostvareno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izvještajnom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razdoblju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tekuće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C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CC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CD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Dodatne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usluge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8"/>
              </w:rPr>
              <w:t>obrazovanju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CE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CF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80.973,75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D0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86.225,21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D1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106,5</w:t>
            </w:r>
          </w:p>
        </w:tc>
      </w:tr>
    </w:tbl>
    <w:p w14:paraId="24AEB9D3" w14:textId="77777777" w:rsidR="00D04A85" w:rsidRDefault="00D04A85">
      <w:pPr>
        <w:spacing w:after="0"/>
      </w:pPr>
    </w:p>
    <w:p w14:paraId="24AEB9D4" w14:textId="77777777" w:rsidR="00D04A85" w:rsidRDefault="00452454">
      <w:proofErr w:type="spellStart"/>
      <w:r>
        <w:t>Iznos</w:t>
      </w:r>
      <w:proofErr w:type="spellEnd"/>
      <w:r>
        <w:t xml:space="preserve"> od 86.225,21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namirnica</w:t>
      </w:r>
      <w:proofErr w:type="spellEnd"/>
      <w:r>
        <w:t xml:space="preserve"> za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kuhinju</w:t>
      </w:r>
      <w:proofErr w:type="spellEnd"/>
      <w:r>
        <w:t>.</w:t>
      </w:r>
    </w:p>
    <w:p w14:paraId="24AEB9D5" w14:textId="77777777" w:rsidR="00D04A85" w:rsidRDefault="00D04A85"/>
    <w:p w14:paraId="0CFDFD8C" w14:textId="77777777" w:rsidR="00CD4099" w:rsidRDefault="00CD4099"/>
    <w:p w14:paraId="24AEB9D6" w14:textId="77777777" w:rsidR="00D04A85" w:rsidRDefault="00452454">
      <w:pPr>
        <w:keepNext/>
        <w:spacing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Promjene</w:t>
      </w:r>
      <w:proofErr w:type="spellEnd"/>
      <w:r>
        <w:rPr>
          <w:rFonts w:ascii="Times New Roman" w:hAnsi="Times New Roman"/>
          <w:b/>
          <w:sz w:val="28"/>
        </w:rPr>
        <w:t xml:space="preserve"> u </w:t>
      </w:r>
      <w:proofErr w:type="spellStart"/>
      <w:r>
        <w:rPr>
          <w:rFonts w:ascii="Times New Roman" w:hAnsi="Times New Roman"/>
          <w:b/>
          <w:sz w:val="28"/>
        </w:rPr>
        <w:t>vrijednosti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obujmu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imovine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obveza</w:t>
      </w:r>
      <w:proofErr w:type="spellEnd"/>
    </w:p>
    <w:p w14:paraId="72A8F587" w14:textId="77777777" w:rsidR="00CD4099" w:rsidRDefault="00CD4099">
      <w:pPr>
        <w:keepNext/>
        <w:spacing w:line="240" w:lineRule="auto"/>
        <w:jc w:val="center"/>
      </w:pPr>
    </w:p>
    <w:p w14:paraId="24AEB9D7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D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D8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D9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D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D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D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D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DF" w14:textId="77777777" w:rsidR="00D04A85" w:rsidRDefault="00D04A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E0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Promjene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8"/>
              </w:rPr>
              <w:t>vrijednosti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nefinancijske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imovine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E1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E2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E3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61.389,62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E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4AEB9E6" w14:textId="77777777" w:rsidR="00D04A85" w:rsidRDefault="00D04A85">
      <w:pPr>
        <w:spacing w:after="0"/>
      </w:pPr>
    </w:p>
    <w:p w14:paraId="24AEB9E7" w14:textId="77777777" w:rsidR="00D04A85" w:rsidRDefault="00452454">
      <w:proofErr w:type="spellStart"/>
      <w:r>
        <w:t>Iznos</w:t>
      </w:r>
      <w:proofErr w:type="spellEnd"/>
      <w:r>
        <w:t xml:space="preserve"> od 61.389,62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31.12.2025. </w:t>
      </w:r>
      <w:proofErr w:type="spellStart"/>
      <w:r>
        <w:t>godine</w:t>
      </w:r>
      <w:proofErr w:type="spellEnd"/>
      <w:r>
        <w:t>.</w:t>
      </w:r>
    </w:p>
    <w:p w14:paraId="24AEB9E8" w14:textId="77777777" w:rsidR="00D04A85" w:rsidRDefault="00D04A85"/>
    <w:p w14:paraId="24AEB9E9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04A85" w14:paraId="24AEB9F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EA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EB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EC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ED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E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E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9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F1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9F2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Promjene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8"/>
              </w:rPr>
              <w:t>obujmu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imovine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F3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F4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9F5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9F6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8,4</w:t>
            </w:r>
          </w:p>
        </w:tc>
      </w:tr>
    </w:tbl>
    <w:p w14:paraId="24AEB9F8" w14:textId="77777777" w:rsidR="00D04A85" w:rsidRDefault="00D04A85">
      <w:pPr>
        <w:spacing w:after="0"/>
      </w:pPr>
    </w:p>
    <w:p w14:paraId="24AEB9F9" w14:textId="77777777" w:rsidR="00D04A85" w:rsidRDefault="00452454">
      <w:proofErr w:type="spellStart"/>
      <w:r>
        <w:t>Iznos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obujma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od 900,00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- </w:t>
      </w:r>
      <w:proofErr w:type="spellStart"/>
      <w:r>
        <w:t>prijenosnog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koji je Grad Zagreb </w:t>
      </w:r>
      <w:proofErr w:type="spellStart"/>
      <w:r>
        <w:t>nabavio</w:t>
      </w:r>
      <w:proofErr w:type="spellEnd"/>
      <w:r>
        <w:t xml:space="preserve"> za </w:t>
      </w:r>
      <w:proofErr w:type="spellStart"/>
      <w:r>
        <w:t>računovodstvo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24AEB9FA" w14:textId="77777777" w:rsidR="00D04A85" w:rsidRDefault="00452454">
      <w:proofErr w:type="spellStart"/>
      <w:r>
        <w:t>Iznos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od 75,41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otpis</w:t>
      </w:r>
      <w:proofErr w:type="spellEnd"/>
      <w:r>
        <w:t xml:space="preserve"> </w:t>
      </w:r>
      <w:proofErr w:type="spellStart"/>
      <w:r>
        <w:t>dotrajale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24AEB9FB" w14:textId="77777777" w:rsidR="00D04A85" w:rsidRDefault="00D04A85"/>
    <w:p w14:paraId="24AEB9FC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b/>
          <w:sz w:val="28"/>
        </w:rPr>
        <w:lastRenderedPageBreak/>
        <w:t>Izvještaj</w:t>
      </w:r>
      <w:proofErr w:type="spellEnd"/>
      <w:r>
        <w:rPr>
          <w:rFonts w:ascii="Times New Roman" w:hAnsi="Times New Roman"/>
          <w:b/>
          <w:sz w:val="28"/>
        </w:rPr>
        <w:t xml:space="preserve"> o </w:t>
      </w:r>
      <w:proofErr w:type="spellStart"/>
      <w:r>
        <w:rPr>
          <w:rFonts w:ascii="Times New Roman" w:hAnsi="Times New Roman"/>
          <w:b/>
          <w:sz w:val="28"/>
        </w:rPr>
        <w:t>obvezama</w:t>
      </w:r>
      <w:proofErr w:type="spellEnd"/>
    </w:p>
    <w:p w14:paraId="24AEB9FD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04A85" w14:paraId="24AEBA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F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9F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A0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A0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A0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A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A04" w14:textId="77777777" w:rsidR="00D04A85" w:rsidRDefault="00D04A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A05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obveza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kraju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izvještajnog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razdoblja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V001+V002-V004) </w:t>
            </w:r>
            <w:proofErr w:type="spellStart"/>
            <w:r>
              <w:rPr>
                <w:rFonts w:ascii="Times New Roman" w:hAnsi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A06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A07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136.805,39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A0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4AEBA0A" w14:textId="77777777" w:rsidR="00D04A85" w:rsidRDefault="00D04A85">
      <w:pPr>
        <w:spacing w:after="0"/>
      </w:pPr>
    </w:p>
    <w:p w14:paraId="24AEBA0B" w14:textId="77777777" w:rsidR="00D04A85" w:rsidRDefault="00452454">
      <w:r>
        <w:t xml:space="preserve">Na dan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OŠ Ivana Filipovića </w:t>
      </w:r>
      <w:proofErr w:type="spellStart"/>
      <w:r>
        <w:t>iznose</w:t>
      </w:r>
      <w:proofErr w:type="spellEnd"/>
      <w:r>
        <w:t xml:space="preserve"> 136.805,39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 </w:t>
      </w:r>
      <w:proofErr w:type="spellStart"/>
      <w:r>
        <w:t>nedospjele</w:t>
      </w:r>
      <w:proofErr w:type="spellEnd"/>
      <w:proofErr w:type="gram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za 12/2025.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2026.,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2025. </w:t>
      </w:r>
      <w:proofErr w:type="spellStart"/>
      <w:r>
        <w:t>godinu</w:t>
      </w:r>
      <w:proofErr w:type="spellEnd"/>
      <w:r>
        <w:t>)</w:t>
      </w:r>
    </w:p>
    <w:p w14:paraId="24AEBA0C" w14:textId="77777777" w:rsidR="00D04A85" w:rsidRDefault="00D04A85"/>
    <w:p w14:paraId="24AEBA0D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04A85" w14:paraId="24AEBA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A0E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Račun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rač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A0F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A10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A11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BA12" w14:textId="77777777" w:rsidR="00D04A85" w:rsidRDefault="0045245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(%)</w:t>
            </w:r>
          </w:p>
        </w:tc>
      </w:tr>
      <w:tr w:rsidR="00D04A85" w14:paraId="24AEBA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A14" w14:textId="77777777" w:rsidR="00D04A85" w:rsidRDefault="00D04A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BA15" w14:textId="77777777" w:rsidR="00D04A85" w:rsidRDefault="00452454">
            <w:pPr>
              <w:keepNext/>
              <w:keepLines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18"/>
              </w:rPr>
              <w:t>Stanje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dospjelih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obveza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kraju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izvještajnog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razdoblja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šifre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V008+D23+D24 + 'D </w:t>
            </w:r>
            <w:proofErr w:type="spellStart"/>
            <w:r>
              <w:rPr>
                <w:rFonts w:ascii="Times New Roman" w:hAnsi="Times New Roman"/>
                <w:sz w:val="18"/>
              </w:rPr>
              <w:t>dio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A16" w14:textId="77777777" w:rsidR="00D04A85" w:rsidRDefault="00452454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EBA17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BA18" w14:textId="77777777" w:rsidR="00D04A85" w:rsidRDefault="00452454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4AEBA1A" w14:textId="77777777" w:rsidR="00D04A85" w:rsidRDefault="00D04A85">
      <w:pPr>
        <w:spacing w:after="0"/>
      </w:pPr>
    </w:p>
    <w:p w14:paraId="591DFF79" w14:textId="0918BC41" w:rsidR="004A28A1" w:rsidRDefault="00452454">
      <w:r>
        <w:t xml:space="preserve">Na dan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OŠ Ivana Filipovića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>.</w:t>
      </w:r>
    </w:p>
    <w:p w14:paraId="7043A366" w14:textId="77777777" w:rsidR="00CD4099" w:rsidRDefault="00CD4099"/>
    <w:p w14:paraId="562FB1F8" w14:textId="77777777" w:rsidR="00CD4099" w:rsidRDefault="00CD4099"/>
    <w:p w14:paraId="24AEBA1E" w14:textId="77777777" w:rsidR="00D04A85" w:rsidRDefault="00452454">
      <w:pPr>
        <w:keepNext/>
        <w:spacing w:line="240" w:lineRule="auto"/>
        <w:jc w:val="center"/>
      </w:pPr>
      <w:proofErr w:type="spellStart"/>
      <w:r>
        <w:rPr>
          <w:rFonts w:ascii="Times New Roman" w:hAnsi="Times New Roman"/>
          <w:sz w:val="28"/>
        </w:rPr>
        <w:t>Bilješka</w:t>
      </w:r>
      <w:proofErr w:type="spellEnd"/>
      <w:r>
        <w:rPr>
          <w:rFonts w:ascii="Times New Roman" w:hAnsi="Times New Roman"/>
          <w:sz w:val="28"/>
        </w:rPr>
        <w:t xml:space="preserve"> 28.</w:t>
      </w:r>
    </w:p>
    <w:p w14:paraId="24AEBA1F" w14:textId="77777777" w:rsidR="00D04A85" w:rsidRDefault="00452454">
      <w:pPr>
        <w:spacing w:line="240" w:lineRule="auto"/>
      </w:pPr>
      <w:r>
        <w:rPr>
          <w:rFonts w:ascii="Times New Roman" w:hAnsi="Times New Roman"/>
          <w:b/>
          <w:sz w:val="24"/>
        </w:rPr>
        <w:t xml:space="preserve">EU </w:t>
      </w:r>
      <w:proofErr w:type="spellStart"/>
      <w:r>
        <w:rPr>
          <w:rFonts w:ascii="Times New Roman" w:hAnsi="Times New Roman"/>
          <w:b/>
          <w:sz w:val="24"/>
        </w:rPr>
        <w:t>izvještaj</w:t>
      </w:r>
      <w:proofErr w:type="spellEnd"/>
    </w:p>
    <w:p w14:paraId="24AEBA20" w14:textId="6A6AEF4D" w:rsidR="00D04A85" w:rsidRDefault="00452454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EU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pod </w:t>
      </w:r>
      <w:proofErr w:type="spellStart"/>
      <w:r>
        <w:t>nazivom</w:t>
      </w:r>
      <w:proofErr w:type="spellEnd"/>
      <w:r>
        <w:t xml:space="preserve"> „</w:t>
      </w:r>
      <w:proofErr w:type="spellStart"/>
      <w:r>
        <w:t>Pomoćnici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/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komunikacijski</w:t>
      </w:r>
      <w:proofErr w:type="spellEnd"/>
      <w:r>
        <w:t xml:space="preserve"> </w:t>
      </w:r>
      <w:proofErr w:type="spellStart"/>
      <w:r>
        <w:t>posrednici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potpora</w:t>
      </w:r>
      <w:proofErr w:type="spellEnd"/>
      <w:r>
        <w:t xml:space="preserve"> </w:t>
      </w:r>
      <w:proofErr w:type="spellStart"/>
      <w:r>
        <w:t>inkluzivnom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, </w:t>
      </w:r>
      <w:proofErr w:type="spellStart"/>
      <w:r>
        <w:t>faza</w:t>
      </w:r>
      <w:proofErr w:type="spellEnd"/>
      <w:r>
        <w:t xml:space="preserve"> VII“, koji se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Europskog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plus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„</w:t>
      </w:r>
      <w:proofErr w:type="spellStart"/>
      <w:r>
        <w:t>Učinkoviti</w:t>
      </w:r>
      <w:proofErr w:type="spellEnd"/>
      <w:r>
        <w:t xml:space="preserve"> </w:t>
      </w:r>
      <w:proofErr w:type="spellStart"/>
      <w:r>
        <w:t>ljudski</w:t>
      </w:r>
      <w:proofErr w:type="spellEnd"/>
      <w:r>
        <w:t xml:space="preserve"> </w:t>
      </w:r>
      <w:proofErr w:type="spellStart"/>
      <w:r>
        <w:t>potencijali</w:t>
      </w:r>
      <w:proofErr w:type="spellEnd"/>
      <w:r>
        <w:t xml:space="preserve"> 2021.–2027.“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Ivana Filipovića </w:t>
      </w:r>
      <w:proofErr w:type="spellStart"/>
      <w:r>
        <w:t>sudjeluje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partner 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/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komunikacijskog</w:t>
      </w:r>
      <w:proofErr w:type="spellEnd"/>
      <w:r>
        <w:t xml:space="preserve"> </w:t>
      </w:r>
      <w:proofErr w:type="spellStart"/>
      <w:r>
        <w:t>posrednika</w:t>
      </w:r>
      <w:proofErr w:type="spellEnd"/>
      <w:r>
        <w:t xml:space="preserve"> u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Grad Zagreb. </w:t>
      </w:r>
      <w:proofErr w:type="spellStart"/>
      <w:r>
        <w:t>Ukupna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prijenosom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koji </w:t>
      </w:r>
      <w:proofErr w:type="spellStart"/>
      <w:r>
        <w:t>vodi</w:t>
      </w:r>
      <w:proofErr w:type="spellEnd"/>
      <w:r>
        <w:t xml:space="preserve"> </w:t>
      </w:r>
      <w:r w:rsidR="008218C5">
        <w:t>proje</w:t>
      </w:r>
      <w:r w:rsidR="00513DAF">
        <w:t>k</w:t>
      </w:r>
      <w:r w:rsidR="008218C5">
        <w:t>t</w:t>
      </w:r>
      <w:r>
        <w:t xml:space="preserve"> </w:t>
      </w:r>
      <w:proofErr w:type="spellStart"/>
      <w:r>
        <w:t>iznose</w:t>
      </w:r>
      <w:proofErr w:type="spellEnd"/>
      <w:r>
        <w:t xml:space="preserve"> 29.952,13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dobivena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utrošena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doprinose</w:t>
      </w:r>
      <w:proofErr w:type="spellEnd"/>
      <w:r>
        <w:t xml:space="preserve">,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dnevnice</w:t>
      </w:r>
      <w:proofErr w:type="spellEnd"/>
      <w:r>
        <w:t xml:space="preserve"> za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.</w:t>
      </w:r>
    </w:p>
    <w:p w14:paraId="24AEBA21" w14:textId="77777777" w:rsidR="00D04A85" w:rsidRDefault="00D04A85"/>
    <w:sectPr w:rsidR="00D04A85" w:rsidSect="0071659C">
      <w:pgSz w:w="12240" w:h="15840"/>
      <w:pgMar w:top="1418" w:right="1644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85"/>
    <w:rsid w:val="00452454"/>
    <w:rsid w:val="004A28A1"/>
    <w:rsid w:val="00513DAF"/>
    <w:rsid w:val="0071659C"/>
    <w:rsid w:val="00820C11"/>
    <w:rsid w:val="008218C5"/>
    <w:rsid w:val="00830837"/>
    <w:rsid w:val="00CD4099"/>
    <w:rsid w:val="00D04A85"/>
    <w:rsid w:val="00D33F18"/>
    <w:rsid w:val="00DD75C7"/>
    <w:rsid w:val="00EB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B7E5"/>
  <w15:docId w15:val="{EF702168-C7B1-468E-8E4C-A73D743E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54"/>
  </w:style>
  <w:style w:type="paragraph" w:styleId="Heading1">
    <w:name w:val="heading 1"/>
    <w:basedOn w:val="Normal"/>
    <w:next w:val="Normal"/>
    <w:link w:val="Heading1Char"/>
    <w:uiPriority w:val="9"/>
    <w:qFormat/>
    <w:rsid w:val="0045245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45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45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45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45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45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45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45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45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45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45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45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454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454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454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454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454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454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2454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245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454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45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52454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452454"/>
    <w:rPr>
      <w:b/>
      <w:bCs/>
      <w:color w:val="70AD47" w:themeColor="accent6"/>
    </w:rPr>
  </w:style>
  <w:style w:type="character" w:styleId="Emphasis">
    <w:name w:val="Emphasis"/>
    <w:uiPriority w:val="20"/>
    <w:qFormat/>
    <w:rsid w:val="00452454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4524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24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524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45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454"/>
    <w:rPr>
      <w:b/>
      <w:bCs/>
      <w:i/>
      <w:iCs/>
    </w:rPr>
  </w:style>
  <w:style w:type="character" w:styleId="SubtleEmphasis">
    <w:name w:val="Subtle Emphasis"/>
    <w:uiPriority w:val="19"/>
    <w:qFormat/>
    <w:rsid w:val="00452454"/>
    <w:rPr>
      <w:i/>
      <w:iCs/>
    </w:rPr>
  </w:style>
  <w:style w:type="character" w:styleId="IntenseEmphasis">
    <w:name w:val="Intense Emphasis"/>
    <w:uiPriority w:val="21"/>
    <w:qFormat/>
    <w:rsid w:val="00452454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452454"/>
    <w:rPr>
      <w:b/>
      <w:bCs/>
    </w:rPr>
  </w:style>
  <w:style w:type="character" w:styleId="IntenseReference">
    <w:name w:val="Intense Reference"/>
    <w:uiPriority w:val="32"/>
    <w:qFormat/>
    <w:rsid w:val="0045245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5245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4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Karmen Auguštin</cp:lastModifiedBy>
  <cp:revision>11</cp:revision>
  <dcterms:created xsi:type="dcterms:W3CDTF">2026-01-30T12:49:00Z</dcterms:created>
  <dcterms:modified xsi:type="dcterms:W3CDTF">2026-01-30T14:14:00Z</dcterms:modified>
</cp:coreProperties>
</file>